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53E76" w14:textId="77777777" w:rsidR="00B36312" w:rsidRDefault="00B36312" w:rsidP="00B36312">
      <w:pPr>
        <w:pStyle w:val="Title"/>
        <w:jc w:val="center"/>
      </w:pPr>
      <w:r w:rsidRPr="002B5061">
        <w:t>Morenci Water &amp; Electric</w:t>
      </w:r>
    </w:p>
    <w:p w14:paraId="53DA23E9" w14:textId="7949905A" w:rsidR="00B36312" w:rsidRPr="00B36312" w:rsidRDefault="00B36312" w:rsidP="00B36312">
      <w:pPr>
        <w:pStyle w:val="Title"/>
        <w:jc w:val="center"/>
        <w:rPr>
          <w:i/>
          <w:sz w:val="28"/>
          <w:szCs w:val="28"/>
        </w:rPr>
      </w:pPr>
      <w:r w:rsidRPr="00B36312">
        <w:rPr>
          <w:i/>
          <w:sz w:val="28"/>
          <w:szCs w:val="28"/>
        </w:rPr>
        <w:t>Clifton PWS ID# AZ04-06-002</w:t>
      </w:r>
    </w:p>
    <w:p w14:paraId="72A082F9" w14:textId="115BDFEF" w:rsidR="00B36312" w:rsidRPr="002B5061" w:rsidRDefault="00B36312" w:rsidP="00B36312">
      <w:pPr>
        <w:pStyle w:val="Title"/>
        <w:jc w:val="center"/>
        <w:rPr>
          <w:b/>
          <w:u w:val="single"/>
          <w:lang w:val="es-ES"/>
        </w:rPr>
      </w:pPr>
      <w:r w:rsidRPr="002B5061">
        <w:rPr>
          <w:b/>
          <w:u w:val="single"/>
          <w:lang w:val="es-ES"/>
        </w:rPr>
        <w:t>20</w:t>
      </w:r>
      <w:r w:rsidR="00AF7C78">
        <w:rPr>
          <w:b/>
          <w:u w:val="single"/>
          <w:lang w:val="es-ES"/>
        </w:rPr>
        <w:t>2</w:t>
      </w:r>
      <w:r w:rsidR="00440A87">
        <w:rPr>
          <w:b/>
          <w:u w:val="single"/>
          <w:lang w:val="es-ES"/>
        </w:rPr>
        <w:t>1</w:t>
      </w:r>
      <w:r w:rsidRPr="002B5061">
        <w:rPr>
          <w:b/>
          <w:u w:val="single"/>
          <w:lang w:val="es-ES"/>
        </w:rPr>
        <w:t xml:space="preserve"> CONSUMER CONFIDENCE REPORT</w:t>
      </w:r>
    </w:p>
    <w:p w14:paraId="6F0C64CD" w14:textId="484C6E79" w:rsidR="006A694D" w:rsidRPr="00DE64EB" w:rsidDel="00B36312" w:rsidRDefault="006A694D" w:rsidP="00B36312">
      <w:pPr>
        <w:spacing w:line="240" w:lineRule="atLeast"/>
        <w:rPr>
          <w:del w:id="0" w:author="Author"/>
          <w:b/>
          <w:lang w:val="es-ES"/>
        </w:rPr>
      </w:pPr>
    </w:p>
    <w:p w14:paraId="4983F11A" w14:textId="77777777" w:rsidR="006A694D" w:rsidRDefault="006A694D" w:rsidP="006A694D">
      <w:pPr>
        <w:spacing w:line="240" w:lineRule="atLeast"/>
        <w:rPr>
          <w:sz w:val="20"/>
          <w:lang w:val="es-MX"/>
        </w:rPr>
      </w:pPr>
    </w:p>
    <w:p w14:paraId="2B7A46A8" w14:textId="77777777" w:rsidR="007A1270" w:rsidRPr="007A1270" w:rsidRDefault="007A1270" w:rsidP="007A1270">
      <w:pPr>
        <w:widowControl/>
        <w:overflowPunct/>
        <w:spacing w:line="240" w:lineRule="auto"/>
        <w:jc w:val="left"/>
        <w:textAlignment w:val="auto"/>
        <w:rPr>
          <w:rFonts w:eastAsiaTheme="minorHAnsi" w:cs="Arial"/>
          <w:color w:val="000000"/>
          <w:szCs w:val="24"/>
        </w:rPr>
      </w:pPr>
    </w:p>
    <w:p w14:paraId="65C54A2F" w14:textId="1B7A2CDC" w:rsidR="006A694D" w:rsidDel="004E2FDE" w:rsidRDefault="007A1270" w:rsidP="006A694D">
      <w:pPr>
        <w:spacing w:line="240" w:lineRule="atLeast"/>
        <w:rPr>
          <w:del w:id="1" w:author="Author"/>
          <w:rFonts w:eastAsiaTheme="minorHAnsi" w:cs="Arial"/>
          <w:color w:val="000000"/>
          <w:sz w:val="16"/>
          <w:szCs w:val="16"/>
        </w:rPr>
      </w:pPr>
      <w:r w:rsidRPr="007A1270">
        <w:rPr>
          <w:rFonts w:eastAsiaTheme="minorHAnsi" w:cs="Arial"/>
          <w:color w:val="000000"/>
          <w:szCs w:val="24"/>
        </w:rPr>
        <w:t xml:space="preserve"> </w:t>
      </w:r>
      <w:r w:rsidRPr="007A1270">
        <w:rPr>
          <w:rFonts w:eastAsiaTheme="minorHAnsi" w:cs="Arial"/>
          <w:color w:val="000000"/>
          <w:sz w:val="16"/>
          <w:szCs w:val="16"/>
        </w:rPr>
        <w:t xml:space="preserve">Este </w:t>
      </w:r>
      <w:proofErr w:type="spellStart"/>
      <w:r w:rsidRPr="007A1270">
        <w:rPr>
          <w:rFonts w:eastAsiaTheme="minorHAnsi" w:cs="Arial"/>
          <w:color w:val="000000"/>
          <w:sz w:val="16"/>
          <w:szCs w:val="16"/>
        </w:rPr>
        <w:t>informe</w:t>
      </w:r>
      <w:proofErr w:type="spellEnd"/>
      <w:r w:rsidRPr="007A1270">
        <w:rPr>
          <w:rFonts w:eastAsiaTheme="minorHAnsi" w:cs="Arial"/>
          <w:color w:val="000000"/>
          <w:sz w:val="16"/>
          <w:szCs w:val="16"/>
        </w:rPr>
        <w:t xml:space="preserve"> </w:t>
      </w:r>
      <w:proofErr w:type="spellStart"/>
      <w:r w:rsidRPr="007A1270">
        <w:rPr>
          <w:rFonts w:eastAsiaTheme="minorHAnsi" w:cs="Arial"/>
          <w:color w:val="000000"/>
          <w:sz w:val="16"/>
          <w:szCs w:val="16"/>
        </w:rPr>
        <w:t>contiene</w:t>
      </w:r>
      <w:proofErr w:type="spellEnd"/>
      <w:r w:rsidRPr="007A1270">
        <w:rPr>
          <w:rFonts w:eastAsiaTheme="minorHAnsi" w:cs="Arial"/>
          <w:color w:val="000000"/>
          <w:sz w:val="16"/>
          <w:szCs w:val="16"/>
        </w:rPr>
        <w:t xml:space="preserve"> </w:t>
      </w:r>
      <w:proofErr w:type="spellStart"/>
      <w:r w:rsidRPr="007A1270">
        <w:rPr>
          <w:rFonts w:eastAsiaTheme="minorHAnsi" w:cs="Arial"/>
          <w:color w:val="000000"/>
          <w:sz w:val="16"/>
          <w:szCs w:val="16"/>
        </w:rPr>
        <w:t>informactión</w:t>
      </w:r>
      <w:proofErr w:type="spellEnd"/>
      <w:r w:rsidRPr="007A1270">
        <w:rPr>
          <w:rFonts w:eastAsiaTheme="minorHAnsi" w:cs="Arial"/>
          <w:color w:val="000000"/>
          <w:sz w:val="16"/>
          <w:szCs w:val="16"/>
        </w:rPr>
        <w:t xml:space="preserve"> </w:t>
      </w:r>
      <w:proofErr w:type="spellStart"/>
      <w:r w:rsidRPr="007A1270">
        <w:rPr>
          <w:rFonts w:eastAsiaTheme="minorHAnsi" w:cs="Arial"/>
          <w:color w:val="000000"/>
          <w:sz w:val="16"/>
          <w:szCs w:val="16"/>
        </w:rPr>
        <w:t>muy</w:t>
      </w:r>
      <w:proofErr w:type="spellEnd"/>
      <w:r w:rsidRPr="007A1270">
        <w:rPr>
          <w:rFonts w:eastAsiaTheme="minorHAnsi" w:cs="Arial"/>
          <w:color w:val="000000"/>
          <w:sz w:val="16"/>
          <w:szCs w:val="16"/>
        </w:rPr>
        <w:t xml:space="preserve"> </w:t>
      </w:r>
      <w:proofErr w:type="spellStart"/>
      <w:r w:rsidRPr="007A1270">
        <w:rPr>
          <w:rFonts w:eastAsiaTheme="minorHAnsi" w:cs="Arial"/>
          <w:color w:val="000000"/>
          <w:sz w:val="16"/>
          <w:szCs w:val="16"/>
        </w:rPr>
        <w:t>importante</w:t>
      </w:r>
      <w:proofErr w:type="spellEnd"/>
      <w:r w:rsidRPr="007A1270">
        <w:rPr>
          <w:rFonts w:eastAsiaTheme="minorHAnsi" w:cs="Arial"/>
          <w:color w:val="000000"/>
          <w:sz w:val="16"/>
          <w:szCs w:val="16"/>
        </w:rPr>
        <w:t xml:space="preserve"> </w:t>
      </w:r>
      <w:proofErr w:type="spellStart"/>
      <w:r w:rsidRPr="007A1270">
        <w:rPr>
          <w:rFonts w:eastAsiaTheme="minorHAnsi" w:cs="Arial"/>
          <w:color w:val="000000"/>
          <w:sz w:val="16"/>
          <w:szCs w:val="16"/>
        </w:rPr>
        <w:t>sobre</w:t>
      </w:r>
      <w:proofErr w:type="spellEnd"/>
      <w:r w:rsidRPr="007A1270">
        <w:rPr>
          <w:rFonts w:eastAsiaTheme="minorHAnsi" w:cs="Arial"/>
          <w:color w:val="000000"/>
          <w:sz w:val="16"/>
          <w:szCs w:val="16"/>
        </w:rPr>
        <w:t xml:space="preserve"> el aqua </w:t>
      </w:r>
      <w:proofErr w:type="spellStart"/>
      <w:r w:rsidRPr="007A1270">
        <w:rPr>
          <w:rFonts w:eastAsiaTheme="minorHAnsi" w:cs="Arial"/>
          <w:color w:val="000000"/>
          <w:sz w:val="16"/>
          <w:szCs w:val="16"/>
        </w:rPr>
        <w:t>usted</w:t>
      </w:r>
      <w:proofErr w:type="spellEnd"/>
      <w:r w:rsidRPr="007A1270">
        <w:rPr>
          <w:rFonts w:eastAsiaTheme="minorHAnsi" w:cs="Arial"/>
          <w:color w:val="000000"/>
          <w:sz w:val="16"/>
          <w:szCs w:val="16"/>
        </w:rPr>
        <w:t xml:space="preserve"> </w:t>
      </w:r>
      <w:proofErr w:type="spellStart"/>
      <w:r w:rsidRPr="007A1270">
        <w:rPr>
          <w:rFonts w:eastAsiaTheme="minorHAnsi" w:cs="Arial"/>
          <w:color w:val="000000"/>
          <w:sz w:val="16"/>
          <w:szCs w:val="16"/>
        </w:rPr>
        <w:t>bebe</w:t>
      </w:r>
      <w:proofErr w:type="spellEnd"/>
      <w:r w:rsidRPr="007A1270">
        <w:rPr>
          <w:rFonts w:eastAsiaTheme="minorHAnsi" w:cs="Arial"/>
          <w:color w:val="000000"/>
          <w:sz w:val="16"/>
          <w:szCs w:val="16"/>
        </w:rPr>
        <w:t xml:space="preserve">. </w:t>
      </w:r>
      <w:proofErr w:type="spellStart"/>
      <w:r w:rsidRPr="007A1270">
        <w:rPr>
          <w:rFonts w:eastAsiaTheme="minorHAnsi" w:cs="Arial"/>
          <w:color w:val="000000"/>
          <w:sz w:val="16"/>
          <w:szCs w:val="16"/>
        </w:rPr>
        <w:t>Tradúscalo</w:t>
      </w:r>
      <w:proofErr w:type="spellEnd"/>
      <w:r w:rsidRPr="007A1270">
        <w:rPr>
          <w:rFonts w:eastAsiaTheme="minorHAnsi" w:cs="Arial"/>
          <w:color w:val="000000"/>
          <w:sz w:val="16"/>
          <w:szCs w:val="16"/>
        </w:rPr>
        <w:t xml:space="preserve"> ó </w:t>
      </w:r>
      <w:proofErr w:type="spellStart"/>
      <w:r w:rsidRPr="007A1270">
        <w:rPr>
          <w:rFonts w:eastAsiaTheme="minorHAnsi" w:cs="Arial"/>
          <w:color w:val="000000"/>
          <w:sz w:val="16"/>
          <w:szCs w:val="16"/>
        </w:rPr>
        <w:t>hable</w:t>
      </w:r>
      <w:proofErr w:type="spellEnd"/>
      <w:r w:rsidRPr="007A1270">
        <w:rPr>
          <w:rFonts w:eastAsiaTheme="minorHAnsi" w:cs="Arial"/>
          <w:color w:val="000000"/>
          <w:sz w:val="16"/>
          <w:szCs w:val="16"/>
        </w:rPr>
        <w:t xml:space="preserve"> con </w:t>
      </w:r>
      <w:proofErr w:type="spellStart"/>
      <w:r w:rsidRPr="007A1270">
        <w:rPr>
          <w:rFonts w:eastAsiaTheme="minorHAnsi" w:cs="Arial"/>
          <w:color w:val="000000"/>
          <w:sz w:val="16"/>
          <w:szCs w:val="16"/>
        </w:rPr>
        <w:t>alguien</w:t>
      </w:r>
      <w:proofErr w:type="spellEnd"/>
      <w:r w:rsidRPr="007A1270">
        <w:rPr>
          <w:rFonts w:eastAsiaTheme="minorHAnsi" w:cs="Arial"/>
          <w:color w:val="000000"/>
          <w:sz w:val="16"/>
          <w:szCs w:val="16"/>
        </w:rPr>
        <w:t xml:space="preserve"> que lo </w:t>
      </w:r>
      <w:proofErr w:type="spellStart"/>
      <w:r w:rsidRPr="007A1270">
        <w:rPr>
          <w:rFonts w:eastAsiaTheme="minorHAnsi" w:cs="Arial"/>
          <w:color w:val="000000"/>
          <w:sz w:val="16"/>
          <w:szCs w:val="16"/>
        </w:rPr>
        <w:t>entienda</w:t>
      </w:r>
      <w:proofErr w:type="spellEnd"/>
      <w:r w:rsidRPr="007A1270">
        <w:rPr>
          <w:rFonts w:eastAsiaTheme="minorHAnsi" w:cs="Arial"/>
          <w:color w:val="000000"/>
          <w:sz w:val="16"/>
          <w:szCs w:val="16"/>
        </w:rPr>
        <w:t xml:space="preserve"> bien.</w:t>
      </w:r>
    </w:p>
    <w:p w14:paraId="3917C538" w14:textId="77777777" w:rsidR="004E2FDE" w:rsidRPr="00817A1F" w:rsidRDefault="004E2FDE" w:rsidP="007A1270">
      <w:pPr>
        <w:spacing w:line="240" w:lineRule="atLeast"/>
        <w:rPr>
          <w:ins w:id="2" w:author="Author"/>
          <w:rFonts w:cs="Arial"/>
          <w:sz w:val="18"/>
          <w:szCs w:val="18"/>
          <w:lang w:val="es-ES"/>
        </w:rPr>
      </w:pPr>
    </w:p>
    <w:p w14:paraId="5CBBE1D0" w14:textId="77777777" w:rsidR="006A694D" w:rsidRPr="00817A1F" w:rsidRDefault="006A694D" w:rsidP="006A694D">
      <w:pPr>
        <w:spacing w:line="240" w:lineRule="atLeast"/>
        <w:rPr>
          <w:sz w:val="18"/>
          <w:lang w:val="es-ES"/>
        </w:rPr>
      </w:pPr>
    </w:p>
    <w:p w14:paraId="2ED2C241" w14:textId="2770D072" w:rsidR="006A694D" w:rsidRPr="003208B4" w:rsidRDefault="006A694D" w:rsidP="006A694D">
      <w:pPr>
        <w:spacing w:line="240" w:lineRule="atLeast"/>
        <w:rPr>
          <w:sz w:val="20"/>
        </w:rPr>
      </w:pPr>
      <w:r>
        <w:rPr>
          <w:sz w:val="20"/>
        </w:rPr>
        <w:t xml:space="preserve">Morenci Water &amp; Electric (MWE) </w:t>
      </w:r>
      <w:r w:rsidRPr="003208B4">
        <w:rPr>
          <w:sz w:val="20"/>
        </w:rPr>
        <w:t xml:space="preserve">is committed to providing a safe supply of drinking water to our customers.  We issue this report </w:t>
      </w:r>
      <w:r>
        <w:rPr>
          <w:sz w:val="20"/>
        </w:rPr>
        <w:t>by July 1</w:t>
      </w:r>
      <w:r w:rsidRPr="00ED1E79">
        <w:rPr>
          <w:sz w:val="20"/>
          <w:vertAlign w:val="superscript"/>
        </w:rPr>
        <w:t>st</w:t>
      </w:r>
      <w:r>
        <w:rPr>
          <w:sz w:val="20"/>
        </w:rPr>
        <w:t xml:space="preserve"> of every year</w:t>
      </w:r>
      <w:r w:rsidRPr="003208B4">
        <w:rPr>
          <w:sz w:val="20"/>
        </w:rPr>
        <w:t xml:space="preserve"> describing the quality of your drinking water to comply with state and U.S. Environmental Protection Agency (EPA) regulations.  Much of the language used is mandated by regulations. This report provides valuable information about your drinking water, including information about its source and quality.  </w:t>
      </w:r>
    </w:p>
    <w:p w14:paraId="6672FB59" w14:textId="77777777" w:rsidR="006A694D" w:rsidRPr="003208B4" w:rsidRDefault="006A694D" w:rsidP="006A694D">
      <w:pPr>
        <w:spacing w:line="240" w:lineRule="atLeast"/>
        <w:rPr>
          <w:sz w:val="20"/>
        </w:rPr>
      </w:pPr>
    </w:p>
    <w:p w14:paraId="642166F6" w14:textId="035D9A6F" w:rsidR="006A694D" w:rsidRPr="003208B4" w:rsidRDefault="006A694D" w:rsidP="006A694D">
      <w:pPr>
        <w:spacing w:line="240" w:lineRule="atLeast"/>
        <w:rPr>
          <w:sz w:val="20"/>
        </w:rPr>
      </w:pPr>
      <w:r w:rsidRPr="00680151">
        <w:rPr>
          <w:sz w:val="20"/>
        </w:rPr>
        <w:t xml:space="preserve">If you </w:t>
      </w:r>
      <w:r w:rsidRPr="00680151">
        <w:rPr>
          <w:sz w:val="20"/>
          <w:shd w:val="clear" w:color="auto" w:fill="FFFFFF"/>
        </w:rPr>
        <w:t xml:space="preserve">would like more information on the quality of your drinking water, have questions regarding this report, or require additional copies, please contact </w:t>
      </w:r>
      <w:r>
        <w:rPr>
          <w:sz w:val="20"/>
          <w:shd w:val="clear" w:color="auto" w:fill="FFFFFF"/>
        </w:rPr>
        <w:t>MWE</w:t>
      </w:r>
      <w:del w:id="3" w:author="Author">
        <w:r w:rsidRPr="00680151" w:rsidDel="00B246B3">
          <w:rPr>
            <w:sz w:val="20"/>
            <w:shd w:val="clear" w:color="auto" w:fill="FFFFFF"/>
          </w:rPr>
          <w:delText>,</w:delText>
        </w:r>
      </w:del>
      <w:r w:rsidRPr="00680151">
        <w:rPr>
          <w:sz w:val="20"/>
          <w:shd w:val="clear" w:color="auto" w:fill="FFFFFF"/>
        </w:rPr>
        <w:t xml:space="preserve"> at </w:t>
      </w:r>
      <w:r w:rsidRPr="00842929">
        <w:rPr>
          <w:sz w:val="20"/>
          <w:shd w:val="clear" w:color="auto" w:fill="FFFFFF"/>
        </w:rPr>
        <w:t>928-865-2229.</w:t>
      </w:r>
      <w:r>
        <w:rPr>
          <w:sz w:val="20"/>
        </w:rPr>
        <w:t xml:space="preserve"> MWE </w:t>
      </w:r>
      <w:r w:rsidRPr="00680151">
        <w:rPr>
          <w:sz w:val="20"/>
        </w:rPr>
        <w:t>recommends that customers serving more than one housing unit post a copy of this report in a conspicuous place.</w:t>
      </w:r>
      <w:r w:rsidRPr="003208B4">
        <w:rPr>
          <w:sz w:val="20"/>
        </w:rPr>
        <w:t xml:space="preserve"> </w:t>
      </w:r>
      <w:r>
        <w:rPr>
          <w:sz w:val="20"/>
        </w:rPr>
        <w:t xml:space="preserve">We are pleased to report that </w:t>
      </w:r>
      <w:r w:rsidR="002051DF">
        <w:rPr>
          <w:sz w:val="20"/>
        </w:rPr>
        <w:t>Clifton’s</w:t>
      </w:r>
      <w:r>
        <w:rPr>
          <w:sz w:val="20"/>
        </w:rPr>
        <w:t xml:space="preserve"> water meets or exceeds all drinking water standards set by the state and federal governmen</w:t>
      </w:r>
      <w:r w:rsidRPr="00A1414A">
        <w:rPr>
          <w:sz w:val="20"/>
        </w:rPr>
        <w:t>t</w:t>
      </w:r>
      <w:r w:rsidR="003718C6" w:rsidRPr="00A1414A">
        <w:rPr>
          <w:sz w:val="20"/>
        </w:rPr>
        <w:t>s</w:t>
      </w:r>
      <w:r>
        <w:rPr>
          <w:sz w:val="20"/>
        </w:rPr>
        <w:t xml:space="preserve"> for 20</w:t>
      </w:r>
      <w:r w:rsidR="00AF7C78">
        <w:rPr>
          <w:sz w:val="20"/>
        </w:rPr>
        <w:t>2</w:t>
      </w:r>
      <w:r w:rsidR="00440A87">
        <w:rPr>
          <w:sz w:val="20"/>
        </w:rPr>
        <w:t>1</w:t>
      </w:r>
      <w:r>
        <w:rPr>
          <w:sz w:val="20"/>
        </w:rPr>
        <w:t>.</w:t>
      </w:r>
    </w:p>
    <w:p w14:paraId="7077DF34" w14:textId="77777777" w:rsidR="006A694D" w:rsidRPr="00362550" w:rsidRDefault="006A694D" w:rsidP="006A694D">
      <w:pPr>
        <w:spacing w:line="240" w:lineRule="atLeast"/>
        <w:rPr>
          <w:i/>
          <w:sz w:val="20"/>
        </w:rPr>
      </w:pPr>
    </w:p>
    <w:p w14:paraId="41BAC70D" w14:textId="77777777" w:rsidR="006A694D" w:rsidRPr="003208B4" w:rsidRDefault="006A694D" w:rsidP="006A694D">
      <w:pPr>
        <w:spacing w:line="240" w:lineRule="atLeast"/>
        <w:rPr>
          <w:sz w:val="20"/>
        </w:rPr>
      </w:pPr>
    </w:p>
    <w:p w14:paraId="35730CA0" w14:textId="77777777" w:rsidR="006A694D" w:rsidRPr="00277200" w:rsidRDefault="006A694D" w:rsidP="006A694D">
      <w:pPr>
        <w:spacing w:line="240" w:lineRule="atLeast"/>
        <w:rPr>
          <w:b/>
          <w:i/>
          <w:sz w:val="20"/>
          <w:u w:val="single"/>
        </w:rPr>
      </w:pPr>
      <w:r w:rsidRPr="00277200">
        <w:rPr>
          <w:b/>
          <w:i/>
          <w:sz w:val="20"/>
          <w:u w:val="single"/>
        </w:rPr>
        <w:t>Information About Your Drinking Water</w:t>
      </w:r>
    </w:p>
    <w:p w14:paraId="19B813DE" w14:textId="77777777" w:rsidR="006A694D" w:rsidRPr="003208B4" w:rsidRDefault="006A694D" w:rsidP="006A694D">
      <w:pPr>
        <w:pStyle w:val="BodyText"/>
        <w:spacing w:line="240" w:lineRule="atLeast"/>
        <w:jc w:val="both"/>
        <w:rPr>
          <w:b w:val="0"/>
          <w:sz w:val="20"/>
        </w:rPr>
      </w:pPr>
    </w:p>
    <w:p w14:paraId="45DEF8E6" w14:textId="06CD22F5" w:rsidR="006A694D" w:rsidRDefault="006A694D" w:rsidP="006A694D">
      <w:pPr>
        <w:pStyle w:val="BodyText"/>
        <w:spacing w:line="240" w:lineRule="atLeast"/>
        <w:jc w:val="both"/>
        <w:rPr>
          <w:b w:val="0"/>
          <w:sz w:val="20"/>
        </w:rPr>
      </w:pPr>
      <w:r w:rsidRPr="003208B4">
        <w:rPr>
          <w:b w:val="0"/>
          <w:sz w:val="20"/>
        </w:rPr>
        <w:t xml:space="preserve">The sources of drinking water </w:t>
      </w:r>
      <w:r>
        <w:rPr>
          <w:b w:val="0"/>
          <w:sz w:val="20"/>
        </w:rPr>
        <w:t xml:space="preserve">(both tap water and bottled water) </w:t>
      </w:r>
      <w:r w:rsidRPr="003208B4">
        <w:rPr>
          <w:b w:val="0"/>
          <w:sz w:val="20"/>
        </w:rPr>
        <w:t>include rivers, lakes, streams, ponds, reservoirs, springs, an</w:t>
      </w:r>
      <w:r w:rsidRPr="00CA7A93">
        <w:rPr>
          <w:b w:val="0"/>
          <w:sz w:val="20"/>
        </w:rPr>
        <w:t xml:space="preserve">d wells. </w:t>
      </w:r>
      <w:r w:rsidRPr="003208B4">
        <w:rPr>
          <w:b w:val="0"/>
          <w:sz w:val="20"/>
        </w:rPr>
        <w:t xml:space="preserve">As water travels over the surface of the land or through the ground, it dissolves </w:t>
      </w:r>
      <w:proofErr w:type="gramStart"/>
      <w:r w:rsidRPr="003208B4">
        <w:rPr>
          <w:b w:val="0"/>
          <w:sz w:val="20"/>
        </w:rPr>
        <w:t>naturally-occurring</w:t>
      </w:r>
      <w:proofErr w:type="gramEnd"/>
      <w:r w:rsidRPr="003208B4">
        <w:rPr>
          <w:b w:val="0"/>
          <w:sz w:val="20"/>
        </w:rPr>
        <w:t xml:space="preserve"> minerals and, in some cases, radioactive material, and can pick up substances resulting from the presence of animals or from human activity</w:t>
      </w:r>
      <w:r>
        <w:rPr>
          <w:b w:val="0"/>
          <w:sz w:val="20"/>
        </w:rPr>
        <w:t>.</w:t>
      </w:r>
    </w:p>
    <w:p w14:paraId="15FF73D0" w14:textId="77777777" w:rsidR="006A694D" w:rsidRDefault="006A694D" w:rsidP="006A694D">
      <w:pPr>
        <w:pStyle w:val="BodyText"/>
        <w:spacing w:line="240" w:lineRule="atLeast"/>
        <w:jc w:val="both"/>
        <w:rPr>
          <w:b w:val="0"/>
          <w:sz w:val="20"/>
        </w:rPr>
      </w:pPr>
    </w:p>
    <w:p w14:paraId="040AA764" w14:textId="3E88B265" w:rsidR="006A694D" w:rsidRPr="00221402" w:rsidRDefault="006A694D" w:rsidP="006A694D">
      <w:pPr>
        <w:pStyle w:val="BodyText"/>
        <w:shd w:val="clear" w:color="auto" w:fill="FFFFFF"/>
        <w:spacing w:line="240" w:lineRule="atLeast"/>
        <w:jc w:val="both"/>
        <w:rPr>
          <w:b w:val="0"/>
          <w:sz w:val="20"/>
        </w:rPr>
      </w:pPr>
      <w:r>
        <w:rPr>
          <w:b w:val="0"/>
          <w:sz w:val="20"/>
        </w:rPr>
        <w:t xml:space="preserve">Clifton’s </w:t>
      </w:r>
      <w:r w:rsidRPr="00680151">
        <w:rPr>
          <w:b w:val="0"/>
          <w:sz w:val="20"/>
        </w:rPr>
        <w:t xml:space="preserve">water source is </w:t>
      </w:r>
      <w:r>
        <w:rPr>
          <w:b w:val="0"/>
          <w:sz w:val="20"/>
          <w:shd w:val="clear" w:color="auto" w:fill="FFFFFF"/>
        </w:rPr>
        <w:t>ground water and</w:t>
      </w:r>
      <w:r w:rsidRPr="00680151">
        <w:rPr>
          <w:b w:val="0"/>
          <w:sz w:val="20"/>
          <w:shd w:val="clear" w:color="auto" w:fill="FFFFFF"/>
        </w:rPr>
        <w:t xml:space="preserve"> is obtained from </w:t>
      </w:r>
      <w:r>
        <w:rPr>
          <w:b w:val="0"/>
          <w:sz w:val="20"/>
          <w:shd w:val="clear" w:color="auto" w:fill="FFFFFF"/>
        </w:rPr>
        <w:t xml:space="preserve">2 deep wells located at the Frisco Pump </w:t>
      </w:r>
      <w:ins w:id="4" w:author="Author">
        <w:r w:rsidR="00B246B3">
          <w:rPr>
            <w:b w:val="0"/>
            <w:sz w:val="20"/>
            <w:shd w:val="clear" w:color="auto" w:fill="FFFFFF"/>
          </w:rPr>
          <w:t>S</w:t>
        </w:r>
      </w:ins>
      <w:del w:id="5" w:author="Author">
        <w:r w:rsidDel="00B246B3">
          <w:rPr>
            <w:b w:val="0"/>
            <w:sz w:val="20"/>
            <w:shd w:val="clear" w:color="auto" w:fill="FFFFFF"/>
          </w:rPr>
          <w:delText>s</w:delText>
        </w:r>
      </w:del>
      <w:r>
        <w:rPr>
          <w:b w:val="0"/>
          <w:sz w:val="20"/>
          <w:shd w:val="clear" w:color="auto" w:fill="FFFFFF"/>
        </w:rPr>
        <w:t>tation along the San Francisco River</w:t>
      </w:r>
      <w:r w:rsidRPr="00680151">
        <w:rPr>
          <w:b w:val="0"/>
          <w:sz w:val="20"/>
          <w:shd w:val="clear" w:color="auto" w:fill="FFFFFF"/>
        </w:rPr>
        <w:t>.</w:t>
      </w:r>
    </w:p>
    <w:p w14:paraId="27C45CFB" w14:textId="77777777" w:rsidR="006A694D" w:rsidRDefault="006A694D" w:rsidP="006A694D">
      <w:pPr>
        <w:pStyle w:val="BodyText"/>
        <w:spacing w:line="240" w:lineRule="atLeast"/>
        <w:jc w:val="both"/>
        <w:rPr>
          <w:b w:val="0"/>
          <w:sz w:val="20"/>
        </w:rPr>
      </w:pPr>
    </w:p>
    <w:p w14:paraId="332FBEC2" w14:textId="77777777" w:rsidR="006A694D" w:rsidRPr="003208B4" w:rsidRDefault="006A694D" w:rsidP="006A694D">
      <w:pPr>
        <w:pStyle w:val="BodyText"/>
        <w:spacing w:line="240" w:lineRule="atLeast"/>
        <w:jc w:val="both"/>
        <w:rPr>
          <w:b w:val="0"/>
          <w:sz w:val="20"/>
        </w:rPr>
      </w:pPr>
      <w:r w:rsidRPr="0053337A">
        <w:rPr>
          <w:b w:val="0"/>
          <w:sz w:val="20"/>
        </w:rPr>
        <w:t>To ensure that tap water is safe to drink, the EPA prescribes regulations that limit t</w:t>
      </w:r>
      <w:r>
        <w:rPr>
          <w:b w:val="0"/>
          <w:sz w:val="20"/>
        </w:rPr>
        <w:t xml:space="preserve">he </w:t>
      </w:r>
      <w:proofErr w:type="gramStart"/>
      <w:r>
        <w:rPr>
          <w:b w:val="0"/>
          <w:sz w:val="20"/>
        </w:rPr>
        <w:t>amount</w:t>
      </w:r>
      <w:proofErr w:type="gramEnd"/>
      <w:r>
        <w:rPr>
          <w:b w:val="0"/>
          <w:sz w:val="20"/>
        </w:rPr>
        <w:t xml:space="preserve"> of certain con</w:t>
      </w:r>
      <w:r w:rsidRPr="0053337A">
        <w:rPr>
          <w:b w:val="0"/>
          <w:sz w:val="20"/>
        </w:rPr>
        <w:t>s</w:t>
      </w:r>
      <w:r>
        <w:rPr>
          <w:b w:val="0"/>
          <w:sz w:val="20"/>
        </w:rPr>
        <w:t>tituents</w:t>
      </w:r>
      <w:r w:rsidRPr="0053337A">
        <w:rPr>
          <w:b w:val="0"/>
          <w:sz w:val="20"/>
        </w:rPr>
        <w:t xml:space="preserve"> in water provided by public water systems. The Food and Drug Administration (FDA) regulations establish limits for </w:t>
      </w:r>
      <w:r>
        <w:rPr>
          <w:b w:val="0"/>
          <w:sz w:val="20"/>
        </w:rPr>
        <w:t>con</w:t>
      </w:r>
      <w:r w:rsidRPr="0053337A">
        <w:rPr>
          <w:b w:val="0"/>
          <w:sz w:val="20"/>
        </w:rPr>
        <w:t>s</w:t>
      </w:r>
      <w:r>
        <w:rPr>
          <w:b w:val="0"/>
          <w:sz w:val="20"/>
        </w:rPr>
        <w:t>tituents</w:t>
      </w:r>
      <w:r w:rsidRPr="0053337A">
        <w:rPr>
          <w:b w:val="0"/>
          <w:sz w:val="20"/>
        </w:rPr>
        <w:t xml:space="preserve"> in bottled water, which must provide the same protection for public health.</w:t>
      </w:r>
      <w:r w:rsidRPr="003208B4">
        <w:rPr>
          <w:b w:val="0"/>
          <w:sz w:val="20"/>
        </w:rPr>
        <w:t xml:space="preserve"> </w:t>
      </w:r>
    </w:p>
    <w:p w14:paraId="49B5ED72" w14:textId="77777777" w:rsidR="006A694D" w:rsidRPr="003208B4" w:rsidRDefault="006A694D" w:rsidP="006A694D">
      <w:pPr>
        <w:pStyle w:val="BodyText"/>
        <w:spacing w:line="240" w:lineRule="atLeast"/>
        <w:jc w:val="both"/>
        <w:rPr>
          <w:b w:val="0"/>
          <w:sz w:val="20"/>
        </w:rPr>
      </w:pPr>
    </w:p>
    <w:p w14:paraId="63630781" w14:textId="77777777" w:rsidR="006A694D" w:rsidRPr="003208B4" w:rsidRDefault="006A694D" w:rsidP="006A694D">
      <w:pPr>
        <w:pStyle w:val="BodyText"/>
        <w:spacing w:line="240" w:lineRule="atLeast"/>
        <w:jc w:val="both"/>
        <w:rPr>
          <w:b w:val="0"/>
          <w:sz w:val="20"/>
        </w:rPr>
      </w:pPr>
      <w:r w:rsidRPr="003208B4">
        <w:rPr>
          <w:b w:val="0"/>
          <w:sz w:val="20"/>
        </w:rPr>
        <w:t xml:space="preserve">Contaminants that may be present in source water include the following: </w:t>
      </w:r>
    </w:p>
    <w:p w14:paraId="6923B894" w14:textId="77777777" w:rsidR="006A694D" w:rsidRPr="003208B4" w:rsidRDefault="006A694D" w:rsidP="006A694D">
      <w:pPr>
        <w:pStyle w:val="BodyText"/>
        <w:numPr>
          <w:ilvl w:val="0"/>
          <w:numId w:val="1"/>
        </w:numPr>
        <w:spacing w:line="240" w:lineRule="atLeast"/>
        <w:jc w:val="both"/>
        <w:rPr>
          <w:b w:val="0"/>
          <w:sz w:val="20"/>
        </w:rPr>
      </w:pPr>
      <w:r w:rsidRPr="003208B4">
        <w:rPr>
          <w:b w:val="0"/>
          <w:sz w:val="20"/>
        </w:rPr>
        <w:t>Microbial</w:t>
      </w:r>
      <w:r>
        <w:rPr>
          <w:b w:val="0"/>
          <w:sz w:val="20"/>
        </w:rPr>
        <w:t xml:space="preserve"> contaminant</w:t>
      </w:r>
      <w:r w:rsidRPr="003208B4">
        <w:rPr>
          <w:b w:val="0"/>
          <w:sz w:val="20"/>
        </w:rPr>
        <w:t>s, such as viruses and bacteria</w:t>
      </w:r>
      <w:r>
        <w:rPr>
          <w:b w:val="0"/>
          <w:sz w:val="20"/>
        </w:rPr>
        <w:t>, which</w:t>
      </w:r>
      <w:r w:rsidRPr="003208B4">
        <w:rPr>
          <w:b w:val="0"/>
          <w:sz w:val="20"/>
        </w:rPr>
        <w:t xml:space="preserve"> may come from sewage treatment plants, septic systems, agricultural livestock operations, </w:t>
      </w:r>
      <w:r>
        <w:rPr>
          <w:b w:val="0"/>
          <w:sz w:val="20"/>
        </w:rPr>
        <w:t>and</w:t>
      </w:r>
      <w:r w:rsidRPr="003208B4">
        <w:rPr>
          <w:b w:val="0"/>
          <w:sz w:val="20"/>
        </w:rPr>
        <w:t xml:space="preserve"> wildlife. </w:t>
      </w:r>
    </w:p>
    <w:p w14:paraId="1A6CE201" w14:textId="77777777" w:rsidR="006A694D" w:rsidRPr="003208B4" w:rsidRDefault="006A694D" w:rsidP="006A694D">
      <w:pPr>
        <w:pStyle w:val="BodyText"/>
        <w:numPr>
          <w:ilvl w:val="0"/>
          <w:numId w:val="1"/>
        </w:numPr>
        <w:spacing w:line="240" w:lineRule="atLeast"/>
        <w:jc w:val="both"/>
        <w:rPr>
          <w:b w:val="0"/>
          <w:sz w:val="20"/>
        </w:rPr>
      </w:pPr>
      <w:r w:rsidRPr="003208B4">
        <w:rPr>
          <w:b w:val="0"/>
          <w:sz w:val="20"/>
        </w:rPr>
        <w:t>Inorganic</w:t>
      </w:r>
      <w:r>
        <w:rPr>
          <w:b w:val="0"/>
          <w:sz w:val="20"/>
        </w:rPr>
        <w:t xml:space="preserve"> contaminant</w:t>
      </w:r>
      <w:r w:rsidRPr="003208B4">
        <w:rPr>
          <w:b w:val="0"/>
          <w:sz w:val="20"/>
        </w:rPr>
        <w:t xml:space="preserve">s, such as salts and metals, </w:t>
      </w:r>
      <w:r>
        <w:rPr>
          <w:b w:val="0"/>
          <w:sz w:val="20"/>
        </w:rPr>
        <w:t>which</w:t>
      </w:r>
      <w:r w:rsidRPr="003208B4">
        <w:rPr>
          <w:b w:val="0"/>
          <w:sz w:val="20"/>
        </w:rPr>
        <w:t xml:space="preserve"> can be </w:t>
      </w:r>
      <w:proofErr w:type="gramStart"/>
      <w:r w:rsidRPr="003208B4">
        <w:rPr>
          <w:b w:val="0"/>
          <w:sz w:val="20"/>
        </w:rPr>
        <w:t>naturally-occurring</w:t>
      </w:r>
      <w:proofErr w:type="gramEnd"/>
      <w:r w:rsidRPr="003208B4">
        <w:rPr>
          <w:b w:val="0"/>
          <w:sz w:val="20"/>
        </w:rPr>
        <w:t xml:space="preserve"> or result from urban storm water runoff, industrial or domestic wastewater discharges, oil and gas production, mining or farming. </w:t>
      </w:r>
    </w:p>
    <w:p w14:paraId="5E270AD7" w14:textId="77777777" w:rsidR="006A694D" w:rsidRPr="003208B4" w:rsidRDefault="006A694D" w:rsidP="006A694D">
      <w:pPr>
        <w:pStyle w:val="BodyText"/>
        <w:numPr>
          <w:ilvl w:val="0"/>
          <w:numId w:val="1"/>
        </w:numPr>
        <w:spacing w:line="240" w:lineRule="atLeast"/>
        <w:jc w:val="both"/>
        <w:rPr>
          <w:b w:val="0"/>
          <w:sz w:val="20"/>
        </w:rPr>
      </w:pPr>
      <w:r w:rsidRPr="003208B4">
        <w:rPr>
          <w:b w:val="0"/>
          <w:sz w:val="20"/>
        </w:rPr>
        <w:t xml:space="preserve">Pesticides and herbicides, </w:t>
      </w:r>
      <w:r>
        <w:rPr>
          <w:b w:val="0"/>
          <w:sz w:val="20"/>
        </w:rPr>
        <w:t>which</w:t>
      </w:r>
      <w:r w:rsidRPr="003208B4">
        <w:rPr>
          <w:b w:val="0"/>
          <w:sz w:val="20"/>
        </w:rPr>
        <w:t xml:space="preserve"> may come from a variety of sources such as agriculture, urban storm water runoff, and residential uses. </w:t>
      </w:r>
    </w:p>
    <w:p w14:paraId="1AD7C914" w14:textId="77777777" w:rsidR="006A694D" w:rsidRPr="003208B4" w:rsidRDefault="006A694D" w:rsidP="006A694D">
      <w:pPr>
        <w:pStyle w:val="BodyText"/>
        <w:numPr>
          <w:ilvl w:val="0"/>
          <w:numId w:val="1"/>
        </w:numPr>
        <w:spacing w:line="240" w:lineRule="atLeast"/>
        <w:jc w:val="both"/>
        <w:rPr>
          <w:b w:val="0"/>
          <w:sz w:val="20"/>
        </w:rPr>
      </w:pPr>
      <w:r w:rsidRPr="003208B4">
        <w:rPr>
          <w:b w:val="0"/>
          <w:sz w:val="20"/>
        </w:rPr>
        <w:t xml:space="preserve">Organic chemical contaminants, including synthetic and volatile organic chemicals that are by-products of industrial processes and petroleum production, and can also come from gas stations, urban storm water runoff, and septic systems. </w:t>
      </w:r>
    </w:p>
    <w:p w14:paraId="6349B81D" w14:textId="77777777" w:rsidR="006A694D" w:rsidRPr="003208B4" w:rsidRDefault="006A694D" w:rsidP="006A694D">
      <w:pPr>
        <w:pStyle w:val="BodyText"/>
        <w:numPr>
          <w:ilvl w:val="0"/>
          <w:numId w:val="1"/>
        </w:numPr>
        <w:spacing w:line="240" w:lineRule="atLeast"/>
        <w:jc w:val="both"/>
        <w:rPr>
          <w:b w:val="0"/>
          <w:sz w:val="20"/>
        </w:rPr>
      </w:pPr>
      <w:r w:rsidRPr="003208B4">
        <w:rPr>
          <w:b w:val="0"/>
          <w:sz w:val="20"/>
        </w:rPr>
        <w:t>Radioactive contaminants</w:t>
      </w:r>
      <w:r>
        <w:rPr>
          <w:b w:val="0"/>
          <w:sz w:val="20"/>
        </w:rPr>
        <w:t>, which</w:t>
      </w:r>
      <w:r w:rsidRPr="003208B4">
        <w:rPr>
          <w:b w:val="0"/>
          <w:sz w:val="20"/>
        </w:rPr>
        <w:t xml:space="preserve"> can be </w:t>
      </w:r>
      <w:proofErr w:type="gramStart"/>
      <w:r w:rsidRPr="003208B4">
        <w:rPr>
          <w:b w:val="0"/>
          <w:sz w:val="20"/>
        </w:rPr>
        <w:t>naturally-occurring</w:t>
      </w:r>
      <w:proofErr w:type="gramEnd"/>
      <w:r w:rsidRPr="003208B4">
        <w:rPr>
          <w:b w:val="0"/>
          <w:sz w:val="20"/>
        </w:rPr>
        <w:t xml:space="preserve"> or can be the result of oil and gas </w:t>
      </w:r>
      <w:r w:rsidRPr="003208B4">
        <w:rPr>
          <w:b w:val="0"/>
          <w:sz w:val="20"/>
        </w:rPr>
        <w:lastRenderedPageBreak/>
        <w:t>production and mining activities.</w:t>
      </w:r>
    </w:p>
    <w:p w14:paraId="1E29250D" w14:textId="77777777" w:rsidR="006A694D" w:rsidRPr="00CA7A93" w:rsidRDefault="006A694D" w:rsidP="006A694D">
      <w:pPr>
        <w:pStyle w:val="BodyText"/>
        <w:spacing w:line="240" w:lineRule="atLeast"/>
        <w:jc w:val="both"/>
        <w:rPr>
          <w:b w:val="0"/>
          <w:sz w:val="20"/>
        </w:rPr>
      </w:pPr>
    </w:p>
    <w:p w14:paraId="2B7F2882" w14:textId="5034BC7C" w:rsidR="006A694D" w:rsidRDefault="006A694D" w:rsidP="006A694D">
      <w:pPr>
        <w:shd w:val="clear" w:color="auto" w:fill="FFFFFF"/>
        <w:spacing w:line="240" w:lineRule="atLeast"/>
        <w:rPr>
          <w:sz w:val="20"/>
        </w:rPr>
      </w:pPr>
      <w:r w:rsidRPr="00680151">
        <w:rPr>
          <w:sz w:val="20"/>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w:t>
      </w:r>
      <w:r w:rsidR="003718C6" w:rsidRPr="00157953">
        <w:rPr>
          <w:sz w:val="20"/>
        </w:rPr>
        <w:t>EPA</w:t>
      </w:r>
      <w:r w:rsidRPr="00157953">
        <w:rPr>
          <w:sz w:val="20"/>
        </w:rPr>
        <w:t>’s</w:t>
      </w:r>
      <w:r w:rsidRPr="00680151">
        <w:rPr>
          <w:sz w:val="20"/>
        </w:rPr>
        <w:t xml:space="preserve"> </w:t>
      </w:r>
      <w:r w:rsidRPr="00680151">
        <w:rPr>
          <w:i/>
          <w:iCs/>
          <w:sz w:val="20"/>
        </w:rPr>
        <w:t>Safe Drinking Water Hotline</w:t>
      </w:r>
      <w:r w:rsidRPr="00680151">
        <w:rPr>
          <w:sz w:val="20"/>
        </w:rPr>
        <w:t xml:space="preserve"> at 1-800-426-4791.  Some people may be more vulnerable to contaminants in drinking water than the general population.  Immuno-compromised persons such as persons with cancer undergoing chemotherapy, persons who have undergone organ transplants, people with HIV</w:t>
      </w:r>
      <w:r w:rsidR="00C8039C">
        <w:rPr>
          <w:sz w:val="20"/>
        </w:rPr>
        <w:t>/</w:t>
      </w:r>
      <w:r w:rsidRPr="00680151">
        <w:rPr>
          <w:sz w:val="20"/>
        </w:rPr>
        <w:t xml:space="preserve">AIDS or other immune system disorders, some elderly, and infants can be particularly at risk </w:t>
      </w:r>
      <w:r>
        <w:rPr>
          <w:sz w:val="20"/>
        </w:rPr>
        <w:t>from</w:t>
      </w:r>
      <w:r w:rsidRPr="00680151">
        <w:rPr>
          <w:sz w:val="20"/>
        </w:rPr>
        <w:t xml:space="preserve"> infections.  These people should seek advice about drinking water from their health care providers</w:t>
      </w:r>
      <w:r w:rsidR="003718C6">
        <w:rPr>
          <w:sz w:val="20"/>
        </w:rPr>
        <w:t>,</w:t>
      </w:r>
      <w:r w:rsidRPr="00680151">
        <w:rPr>
          <w:sz w:val="20"/>
        </w:rPr>
        <w:t xml:space="preserve"> EPA and the U.S. Centers for Disease Control (CDC) guidelines on appropriate means to lessen the risk of infection by </w:t>
      </w:r>
      <w:r w:rsidRPr="00680151">
        <w:rPr>
          <w:i/>
          <w:sz w:val="20"/>
        </w:rPr>
        <w:t>Cryptosporidium</w:t>
      </w:r>
      <w:r>
        <w:rPr>
          <w:sz w:val="20"/>
        </w:rPr>
        <w:t xml:space="preserve"> and other microbial </w:t>
      </w:r>
      <w:r w:rsidRPr="00680151">
        <w:rPr>
          <w:sz w:val="20"/>
        </w:rPr>
        <w:t xml:space="preserve">contaminants are available from the </w:t>
      </w:r>
      <w:r w:rsidRPr="00680151">
        <w:rPr>
          <w:i/>
          <w:iCs/>
          <w:sz w:val="20"/>
        </w:rPr>
        <w:t>Safe Drinking Water Hotline</w:t>
      </w:r>
      <w:r w:rsidRPr="00680151">
        <w:rPr>
          <w:sz w:val="20"/>
        </w:rPr>
        <w:t xml:space="preserve"> at 1-800-426-4791.</w:t>
      </w:r>
    </w:p>
    <w:p w14:paraId="4841D353" w14:textId="77777777" w:rsidR="006A694D" w:rsidRPr="003208B4" w:rsidRDefault="006A694D" w:rsidP="006A694D">
      <w:pPr>
        <w:spacing w:line="240" w:lineRule="atLeast"/>
        <w:rPr>
          <w:sz w:val="20"/>
        </w:rPr>
      </w:pPr>
    </w:p>
    <w:p w14:paraId="2054F7AA" w14:textId="77777777" w:rsidR="006A694D" w:rsidRPr="003208B4" w:rsidRDefault="006A694D" w:rsidP="006A694D">
      <w:pPr>
        <w:pStyle w:val="BodyText"/>
        <w:tabs>
          <w:tab w:val="left" w:pos="3060"/>
        </w:tabs>
        <w:spacing w:before="240" w:after="120" w:line="240" w:lineRule="atLeast"/>
        <w:jc w:val="both"/>
        <w:rPr>
          <w:rFonts w:cs="Arial"/>
          <w:i/>
          <w:color w:val="000000"/>
          <w:sz w:val="20"/>
        </w:rPr>
      </w:pPr>
      <w:r w:rsidRPr="00B64A7A">
        <w:rPr>
          <w:rFonts w:cs="Arial"/>
          <w:i/>
          <w:color w:val="000000"/>
          <w:sz w:val="20"/>
          <w:u w:val="single"/>
        </w:rPr>
        <w:t>Source Water Assessment</w:t>
      </w:r>
      <w:r w:rsidRPr="003208B4">
        <w:rPr>
          <w:rFonts w:cs="Arial"/>
          <w:i/>
          <w:color w:val="000000"/>
          <w:sz w:val="20"/>
        </w:rPr>
        <w:t>:</w:t>
      </w:r>
    </w:p>
    <w:p w14:paraId="76ADE66F" w14:textId="4E536B41" w:rsidR="006A694D" w:rsidRDefault="006A694D" w:rsidP="006A694D">
      <w:pPr>
        <w:pStyle w:val="BodyText"/>
        <w:spacing w:line="240" w:lineRule="atLeast"/>
        <w:jc w:val="both"/>
        <w:rPr>
          <w:rFonts w:cs="Arial"/>
          <w:b w:val="0"/>
          <w:color w:val="000000"/>
          <w:sz w:val="20"/>
        </w:rPr>
      </w:pPr>
      <w:r w:rsidRPr="003208B4">
        <w:rPr>
          <w:rFonts w:cs="Arial"/>
          <w:b w:val="0"/>
          <w:color w:val="000000"/>
          <w:sz w:val="20"/>
        </w:rPr>
        <w:t xml:space="preserve">The Source Water Assessment </w:t>
      </w:r>
      <w:r>
        <w:rPr>
          <w:rFonts w:cs="Arial"/>
          <w:b w:val="0"/>
          <w:color w:val="000000"/>
          <w:sz w:val="20"/>
        </w:rPr>
        <w:t xml:space="preserve">(SWA) </w:t>
      </w:r>
      <w:r w:rsidRPr="003208B4">
        <w:rPr>
          <w:rFonts w:cs="Arial"/>
          <w:b w:val="0"/>
          <w:color w:val="000000"/>
          <w:sz w:val="20"/>
        </w:rPr>
        <w:t xml:space="preserve">Program, developed and implemented by the Arizona Department of Environmental Quality (ADEQ) under EPA guidance, was created to promote community awareness of water quality issues and to encourage the protection of drinking water sources at the community level. </w:t>
      </w:r>
      <w:r>
        <w:rPr>
          <w:rFonts w:cs="Arial"/>
          <w:b w:val="0"/>
          <w:color w:val="000000"/>
          <w:sz w:val="20"/>
        </w:rPr>
        <w:t xml:space="preserve"> </w:t>
      </w:r>
      <w:r w:rsidRPr="003208B4">
        <w:rPr>
          <w:rFonts w:cs="Arial"/>
          <w:b w:val="0"/>
          <w:color w:val="000000"/>
          <w:sz w:val="20"/>
        </w:rPr>
        <w:t>ADEQ gathers information on drinking water sources</w:t>
      </w:r>
      <w:r w:rsidRPr="00B64A7A">
        <w:rPr>
          <w:rFonts w:cs="Arial"/>
          <w:b w:val="0"/>
          <w:color w:val="000000"/>
          <w:sz w:val="20"/>
        </w:rPr>
        <w:t xml:space="preserve"> </w:t>
      </w:r>
      <w:r w:rsidRPr="003208B4">
        <w:rPr>
          <w:rFonts w:cs="Arial"/>
          <w:b w:val="0"/>
          <w:color w:val="000000"/>
          <w:sz w:val="20"/>
        </w:rPr>
        <w:t>including wells, surface water intakes, and springs and evaluates the extent to which the water source is vulnerable to natural or man-made contamination from sources such as gas stations, landfills, dry cleaners, agriculture fields, waste water treatment plants, and mining activities.</w:t>
      </w:r>
      <w:r>
        <w:rPr>
          <w:rFonts w:cs="Arial"/>
          <w:b w:val="0"/>
          <w:color w:val="000000"/>
          <w:sz w:val="20"/>
        </w:rPr>
        <w:t xml:space="preserve"> </w:t>
      </w:r>
      <w:r w:rsidRPr="003208B4">
        <w:rPr>
          <w:rFonts w:cs="Arial"/>
          <w:b w:val="0"/>
          <w:color w:val="000000"/>
          <w:sz w:val="20"/>
        </w:rPr>
        <w:t xml:space="preserve"> </w:t>
      </w:r>
    </w:p>
    <w:p w14:paraId="086E1A94" w14:textId="77777777" w:rsidR="006A694D" w:rsidRDefault="006A694D" w:rsidP="006A694D">
      <w:pPr>
        <w:pStyle w:val="BodyText"/>
        <w:spacing w:line="240" w:lineRule="atLeast"/>
        <w:jc w:val="both"/>
        <w:rPr>
          <w:rFonts w:cs="Arial"/>
          <w:b w:val="0"/>
          <w:color w:val="000000"/>
          <w:sz w:val="20"/>
        </w:rPr>
      </w:pPr>
    </w:p>
    <w:p w14:paraId="02FE42C3" w14:textId="77777777" w:rsidR="006A694D" w:rsidRPr="003208B4" w:rsidRDefault="006A694D" w:rsidP="006A694D">
      <w:pPr>
        <w:pStyle w:val="BodyText"/>
        <w:spacing w:line="240" w:lineRule="atLeast"/>
        <w:jc w:val="both"/>
        <w:rPr>
          <w:rFonts w:cs="Arial"/>
          <w:b w:val="0"/>
          <w:color w:val="000000"/>
          <w:sz w:val="20"/>
        </w:rPr>
      </w:pPr>
      <w:r w:rsidRPr="003208B4">
        <w:rPr>
          <w:rFonts w:cs="Arial"/>
          <w:b w:val="0"/>
          <w:color w:val="000000"/>
          <w:sz w:val="20"/>
        </w:rPr>
        <w:t xml:space="preserve">ADEQ has evaluated the source water areas in </w:t>
      </w:r>
      <w:r>
        <w:rPr>
          <w:rFonts w:cs="Arial"/>
          <w:b w:val="0"/>
          <w:color w:val="000000"/>
          <w:sz w:val="20"/>
        </w:rPr>
        <w:t xml:space="preserve">Greenlee County </w:t>
      </w:r>
      <w:r w:rsidRPr="003208B4">
        <w:rPr>
          <w:rFonts w:cs="Arial"/>
          <w:b w:val="0"/>
          <w:color w:val="000000"/>
          <w:sz w:val="20"/>
        </w:rPr>
        <w:t xml:space="preserve">including the source waters for the </w:t>
      </w:r>
      <w:r>
        <w:rPr>
          <w:rFonts w:cs="Arial"/>
          <w:b w:val="0"/>
          <w:color w:val="000000"/>
          <w:sz w:val="20"/>
        </w:rPr>
        <w:t>Clifton drinking water system. The SWA</w:t>
      </w:r>
      <w:r w:rsidRPr="003208B4">
        <w:rPr>
          <w:rFonts w:cs="Arial"/>
          <w:b w:val="0"/>
          <w:color w:val="000000"/>
          <w:sz w:val="20"/>
        </w:rPr>
        <w:t xml:space="preserve"> for </w:t>
      </w:r>
      <w:r>
        <w:rPr>
          <w:rFonts w:cs="Arial"/>
          <w:b w:val="0"/>
          <w:color w:val="000000"/>
          <w:sz w:val="20"/>
        </w:rPr>
        <w:t>the Clifton drinking water system has been designated as a low</w:t>
      </w:r>
      <w:r w:rsidRPr="003208B4">
        <w:rPr>
          <w:rFonts w:cs="Arial"/>
          <w:b w:val="0"/>
          <w:color w:val="000000"/>
          <w:sz w:val="20"/>
        </w:rPr>
        <w:t xml:space="preserve"> risk.</w:t>
      </w:r>
    </w:p>
    <w:p w14:paraId="6F53DFA5" w14:textId="77777777" w:rsidR="006A694D" w:rsidRPr="003208B4" w:rsidRDefault="006A694D" w:rsidP="006A694D">
      <w:pPr>
        <w:pStyle w:val="BodyText"/>
        <w:spacing w:line="240" w:lineRule="atLeast"/>
        <w:jc w:val="both"/>
        <w:rPr>
          <w:rFonts w:cs="Arial"/>
          <w:b w:val="0"/>
          <w:color w:val="000000"/>
          <w:sz w:val="20"/>
        </w:rPr>
      </w:pPr>
    </w:p>
    <w:p w14:paraId="0D6D9983" w14:textId="6D851607" w:rsidR="006A694D" w:rsidRPr="003208B4" w:rsidRDefault="006A694D" w:rsidP="006A694D">
      <w:pPr>
        <w:pStyle w:val="BodyText"/>
        <w:spacing w:line="240" w:lineRule="atLeast"/>
        <w:jc w:val="left"/>
        <w:rPr>
          <w:rFonts w:cs="Arial"/>
          <w:b w:val="0"/>
          <w:color w:val="000000"/>
          <w:sz w:val="20"/>
        </w:rPr>
      </w:pPr>
      <w:r w:rsidRPr="003208B4">
        <w:rPr>
          <w:rFonts w:cs="Arial"/>
          <w:b w:val="0"/>
          <w:color w:val="000000"/>
          <w:sz w:val="20"/>
        </w:rPr>
        <w:t>The complete SWA report is available for inspection at the ADEQ, 1110 W. Washington, Phoenix, Arizona 85007, between the hours of 8:00 am and 5:00 pm.</w:t>
      </w:r>
      <w:r w:rsidRPr="007E5597">
        <w:rPr>
          <w:rFonts w:cs="Arial"/>
          <w:b w:val="0"/>
          <w:color w:val="000000"/>
          <w:sz w:val="20"/>
        </w:rPr>
        <w:t xml:space="preserve"> </w:t>
      </w:r>
      <w:r w:rsidRPr="007E5597">
        <w:rPr>
          <w:b w:val="0"/>
          <w:sz w:val="20"/>
        </w:rPr>
        <w:t xml:space="preserve">Further source water assessment documentation can be obtained </w:t>
      </w:r>
      <w:r w:rsidR="00CE1531">
        <w:rPr>
          <w:b w:val="0"/>
          <w:sz w:val="20"/>
        </w:rPr>
        <w:t>at</w:t>
      </w:r>
      <w:r w:rsidRPr="003208B4">
        <w:rPr>
          <w:rFonts w:cs="Arial"/>
          <w:b w:val="0"/>
          <w:color w:val="000000"/>
          <w:sz w:val="20"/>
        </w:rPr>
        <w:t xml:space="preserve"> ADEQ’s Source Water Assessment Protection Unit website at:</w:t>
      </w:r>
      <w:r w:rsidR="00CE1531" w:rsidRPr="00CE1531">
        <w:t xml:space="preserve"> </w:t>
      </w:r>
      <w:hyperlink r:id="rId7" w:history="1">
        <w:r w:rsidR="00CE1531" w:rsidRPr="003208B4">
          <w:rPr>
            <w:rStyle w:val="Hyperlink"/>
            <w:rFonts w:cs="Arial"/>
            <w:sz w:val="20"/>
          </w:rPr>
          <w:t>www.azdeq.gov/environ/water/dw/swap.html</w:t>
        </w:r>
      </w:hyperlink>
      <w:r w:rsidR="00CE1531" w:rsidRPr="003208B4">
        <w:rPr>
          <w:rFonts w:cs="Arial"/>
          <w:b w:val="0"/>
          <w:color w:val="000000"/>
          <w:sz w:val="20"/>
        </w:rPr>
        <w:t>.</w:t>
      </w:r>
    </w:p>
    <w:tbl>
      <w:tblPr>
        <w:tblpPr w:leftFromText="180" w:rightFromText="180" w:vertAnchor="text" w:horzAnchor="margin" w:tblpXSpec="center" w:tblpY="407"/>
        <w:tblW w:w="10620" w:type="dxa"/>
        <w:tblBorders>
          <w:top w:val="nil"/>
          <w:left w:val="nil"/>
          <w:bottom w:val="nil"/>
          <w:right w:val="nil"/>
        </w:tblBorders>
        <w:tblLayout w:type="fixed"/>
        <w:tblLook w:val="0000" w:firstRow="0" w:lastRow="0" w:firstColumn="0" w:lastColumn="0" w:noHBand="0" w:noVBand="0"/>
      </w:tblPr>
      <w:tblGrid>
        <w:gridCol w:w="5940"/>
        <w:gridCol w:w="4680"/>
      </w:tblGrid>
      <w:tr w:rsidR="004A3435" w:rsidRPr="009A7AD8" w14:paraId="09CACC2C" w14:textId="77777777" w:rsidTr="00DC0614">
        <w:trPr>
          <w:trHeight w:val="2700"/>
        </w:trPr>
        <w:tc>
          <w:tcPr>
            <w:tcW w:w="5940" w:type="dxa"/>
          </w:tcPr>
          <w:p w14:paraId="48BBB5CC" w14:textId="77777777" w:rsidR="004A3435" w:rsidRPr="00BE60CD" w:rsidRDefault="004A3435" w:rsidP="004A3435">
            <w:pPr>
              <w:widowControl/>
              <w:overflowPunct/>
              <w:spacing w:line="240" w:lineRule="auto"/>
              <w:jc w:val="left"/>
              <w:textAlignment w:val="auto"/>
              <w:rPr>
                <w:rFonts w:cs="Arial"/>
                <w:b/>
                <w:bCs/>
                <w:color w:val="000000"/>
                <w:szCs w:val="24"/>
              </w:rPr>
            </w:pPr>
            <w:bookmarkStart w:id="6" w:name="pgfId-75436"/>
            <w:bookmarkStart w:id="7" w:name="pgfId-75380"/>
            <w:bookmarkEnd w:id="6"/>
            <w:bookmarkEnd w:id="7"/>
            <w:r w:rsidRPr="00BE60CD">
              <w:rPr>
                <w:rFonts w:cs="Arial"/>
                <w:b/>
                <w:bCs/>
                <w:color w:val="000000"/>
                <w:szCs w:val="24"/>
                <w:u w:val="single"/>
              </w:rPr>
              <w:t>Definitions</w:t>
            </w:r>
          </w:p>
          <w:p w14:paraId="643A2F32" w14:textId="44DE4349" w:rsidR="004A3435" w:rsidRPr="00BE60CD" w:rsidRDefault="004A3435" w:rsidP="004A34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 xml:space="preserve">Maximum Contaminant Level Goal </w:t>
            </w:r>
            <w:ins w:id="8" w:author="Author">
              <w:r w:rsidR="00515BC7">
                <w:rPr>
                  <w:rFonts w:cs="Arial"/>
                  <w:b/>
                  <w:bCs/>
                  <w:color w:val="000000"/>
                  <w:sz w:val="18"/>
                  <w:szCs w:val="18"/>
                </w:rPr>
                <w:t>(</w:t>
              </w:r>
            </w:ins>
            <w:r w:rsidRPr="00BE60CD">
              <w:rPr>
                <w:rFonts w:cs="Arial"/>
                <w:b/>
                <w:bCs/>
                <w:color w:val="000000"/>
                <w:sz w:val="18"/>
                <w:szCs w:val="18"/>
              </w:rPr>
              <w:t>MCLG)</w:t>
            </w:r>
            <w:r w:rsidRPr="00BE60CD">
              <w:rPr>
                <w:rFonts w:cs="Arial"/>
                <w:color w:val="000000"/>
                <w:sz w:val="18"/>
                <w:szCs w:val="18"/>
              </w:rPr>
              <w:t xml:space="preserve">: The level of a contaminant in drinking water below which there is no known or expected risk to health.  MCLGs allow for a margin of safety. </w:t>
            </w:r>
          </w:p>
          <w:p w14:paraId="27317412" w14:textId="77777777" w:rsidR="004A3435" w:rsidRPr="00BE60CD" w:rsidRDefault="004A3435" w:rsidP="004A34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Maximum Residual Disinfectant Level (MRDL)</w:t>
            </w:r>
            <w:r w:rsidRPr="00BE60CD">
              <w:rPr>
                <w:rFonts w:cs="Arial"/>
                <w:color w:val="000000"/>
                <w:sz w:val="18"/>
                <w:szCs w:val="18"/>
              </w:rPr>
              <w:t xml:space="preserve">: The                      highest level of a disinfectant allowed in drinking water.  There is convincing evidence that addition of a disinfectant is necessary for control of microbial contaminants. </w:t>
            </w:r>
          </w:p>
          <w:p w14:paraId="2F3EA763" w14:textId="77777777" w:rsidR="004A3435" w:rsidRPr="00BE60CD" w:rsidRDefault="004A3435" w:rsidP="004A3435">
            <w:pPr>
              <w:widowControl/>
              <w:overflowPunct/>
              <w:spacing w:line="240" w:lineRule="auto"/>
              <w:jc w:val="left"/>
              <w:textAlignment w:val="auto"/>
              <w:rPr>
                <w:rFonts w:cs="Arial"/>
                <w:b/>
                <w:bCs/>
                <w:color w:val="000000"/>
                <w:sz w:val="18"/>
                <w:szCs w:val="18"/>
              </w:rPr>
            </w:pPr>
            <w:r w:rsidRPr="00BE60CD">
              <w:rPr>
                <w:rFonts w:cs="Arial"/>
                <w:b/>
                <w:bCs/>
                <w:color w:val="000000"/>
                <w:sz w:val="18"/>
                <w:szCs w:val="18"/>
              </w:rPr>
              <w:t>Maximum Residual Disinfectant Level Goal (MRDLG)</w:t>
            </w:r>
            <w:r w:rsidRPr="00BE60CD">
              <w:rPr>
                <w:rFonts w:cs="Arial"/>
                <w:color w:val="000000"/>
                <w:sz w:val="18"/>
                <w:szCs w:val="18"/>
              </w:rPr>
              <w:t>: The level of a drinking water disinfectant below which there is no known or expected risk to health.  MRDLGs do not reflect the benefits of the use of disinfectants to control microbial contaminants.</w:t>
            </w:r>
          </w:p>
          <w:p w14:paraId="11A85A6F" w14:textId="77777777" w:rsidR="004A3435" w:rsidRPr="00BE60CD" w:rsidRDefault="004A3435" w:rsidP="004A3435">
            <w:pPr>
              <w:widowControl/>
              <w:overflowPunct/>
              <w:spacing w:line="240" w:lineRule="auto"/>
              <w:jc w:val="left"/>
              <w:textAlignment w:val="auto"/>
              <w:rPr>
                <w:rFonts w:cs="Arial"/>
                <w:b/>
                <w:bCs/>
                <w:color w:val="000000"/>
                <w:sz w:val="18"/>
                <w:szCs w:val="18"/>
              </w:rPr>
            </w:pPr>
          </w:p>
          <w:p w14:paraId="02A20329" w14:textId="77777777" w:rsidR="004A3435" w:rsidRPr="00BE60CD" w:rsidRDefault="004A3435" w:rsidP="004A3435">
            <w:pPr>
              <w:widowControl/>
              <w:overflowPunct/>
              <w:spacing w:line="240" w:lineRule="auto"/>
              <w:jc w:val="left"/>
              <w:textAlignment w:val="auto"/>
              <w:rPr>
                <w:rFonts w:cs="Arial"/>
                <w:color w:val="000000"/>
                <w:sz w:val="18"/>
                <w:szCs w:val="18"/>
              </w:rPr>
            </w:pPr>
            <w:r w:rsidRPr="00BE60CD">
              <w:rPr>
                <w:rFonts w:cs="Arial"/>
                <w:b/>
                <w:bCs/>
                <w:color w:val="000000"/>
                <w:sz w:val="18"/>
                <w:szCs w:val="18"/>
              </w:rPr>
              <w:t>Minimum Reporting Limit (MRL)</w:t>
            </w:r>
            <w:r w:rsidRPr="00BE60CD">
              <w:rPr>
                <w:rFonts w:cs="Arial"/>
                <w:color w:val="000000"/>
                <w:sz w:val="18"/>
                <w:szCs w:val="18"/>
              </w:rPr>
              <w:t xml:space="preserve">: The smallest measured concentration of a substance that can be reliably measured by a given analytical method </w:t>
            </w:r>
          </w:p>
          <w:p w14:paraId="1C5FDD2A" w14:textId="77777777" w:rsidR="004A3435" w:rsidRPr="00BE60CD" w:rsidRDefault="004A3435" w:rsidP="004A3435">
            <w:pPr>
              <w:widowControl/>
              <w:overflowPunct/>
              <w:spacing w:line="240" w:lineRule="auto"/>
              <w:jc w:val="left"/>
              <w:textAlignment w:val="auto"/>
              <w:rPr>
                <w:rFonts w:cs="Arial"/>
                <w:b/>
                <w:bCs/>
                <w:color w:val="000000"/>
                <w:sz w:val="18"/>
                <w:szCs w:val="18"/>
              </w:rPr>
            </w:pPr>
          </w:p>
          <w:p w14:paraId="24B4609D" w14:textId="77777777" w:rsidR="004A3435" w:rsidRPr="00BE60CD" w:rsidDel="002146D5" w:rsidRDefault="004A3435" w:rsidP="004A3435">
            <w:pPr>
              <w:widowControl/>
              <w:overflowPunct/>
              <w:spacing w:line="240" w:lineRule="auto"/>
              <w:jc w:val="left"/>
              <w:textAlignment w:val="auto"/>
              <w:rPr>
                <w:rFonts w:cs="Arial"/>
                <w:b/>
                <w:bCs/>
                <w:color w:val="000000"/>
                <w:sz w:val="18"/>
                <w:szCs w:val="18"/>
              </w:rPr>
            </w:pPr>
            <w:r w:rsidRPr="00BE60CD">
              <w:rPr>
                <w:rFonts w:cs="Arial"/>
                <w:b/>
                <w:bCs/>
                <w:color w:val="000000"/>
                <w:sz w:val="18"/>
                <w:szCs w:val="18"/>
              </w:rPr>
              <w:t>Millirems per year (MREM)</w:t>
            </w:r>
            <w:r w:rsidRPr="00BE60CD">
              <w:rPr>
                <w:rFonts w:cs="Arial"/>
                <w:color w:val="000000"/>
                <w:sz w:val="18"/>
                <w:szCs w:val="18"/>
              </w:rPr>
              <w:t xml:space="preserve">: A measure of radiation absorbed by the body </w:t>
            </w:r>
          </w:p>
          <w:p w14:paraId="36EB3509" w14:textId="77777777" w:rsidR="004A3435" w:rsidRPr="00BE60CD" w:rsidRDefault="004A3435" w:rsidP="004A3435">
            <w:pPr>
              <w:widowControl/>
              <w:overflowPunct/>
              <w:spacing w:line="240" w:lineRule="auto"/>
              <w:jc w:val="left"/>
              <w:textAlignment w:val="auto"/>
              <w:rPr>
                <w:rFonts w:cs="Arial"/>
                <w:color w:val="000000"/>
                <w:sz w:val="18"/>
                <w:szCs w:val="18"/>
              </w:rPr>
            </w:pPr>
          </w:p>
          <w:p w14:paraId="785E777A" w14:textId="77777777" w:rsidR="004A3435" w:rsidRPr="00BE60CD" w:rsidRDefault="004A3435" w:rsidP="004A3435">
            <w:pPr>
              <w:widowControl/>
              <w:overflowPunct/>
              <w:spacing w:line="240" w:lineRule="auto"/>
              <w:jc w:val="left"/>
              <w:textAlignment w:val="auto"/>
              <w:rPr>
                <w:rFonts w:cs="Arial"/>
                <w:color w:val="000000"/>
                <w:sz w:val="18"/>
                <w:szCs w:val="18"/>
              </w:rPr>
            </w:pPr>
            <w:r w:rsidRPr="00BE60CD">
              <w:rPr>
                <w:rFonts w:cs="Arial"/>
                <w:b/>
                <w:bCs/>
                <w:color w:val="000000"/>
                <w:sz w:val="18"/>
                <w:szCs w:val="18"/>
              </w:rPr>
              <w:t>Not Applicable (NA)</w:t>
            </w:r>
            <w:r w:rsidRPr="00BE60CD">
              <w:rPr>
                <w:rFonts w:cs="Arial"/>
                <w:color w:val="000000"/>
                <w:sz w:val="18"/>
                <w:szCs w:val="18"/>
              </w:rPr>
              <w:t xml:space="preserve">: Sampling was not completed by regulation or was not required </w:t>
            </w:r>
          </w:p>
          <w:p w14:paraId="5B1A8206" w14:textId="77777777" w:rsidR="004A3435" w:rsidRPr="00BE60CD" w:rsidRDefault="004A3435" w:rsidP="004A34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 xml:space="preserve">Not Detected (ND or &lt;): </w:t>
            </w:r>
            <w:r w:rsidRPr="00BE60CD">
              <w:rPr>
                <w:rFonts w:cs="Arial"/>
                <w:color w:val="000000"/>
                <w:sz w:val="18"/>
                <w:szCs w:val="18"/>
              </w:rPr>
              <w:t xml:space="preserve">Not detectable at reporting limit </w:t>
            </w:r>
          </w:p>
          <w:p w14:paraId="22FB0004" w14:textId="77777777" w:rsidR="004A3435" w:rsidRPr="00BE60CD" w:rsidRDefault="004A3435" w:rsidP="004A34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Nephelometric Turbidity Units (NTU)</w:t>
            </w:r>
            <w:r w:rsidRPr="00BE60CD">
              <w:rPr>
                <w:rFonts w:cs="Arial"/>
                <w:color w:val="000000"/>
                <w:sz w:val="18"/>
                <w:szCs w:val="18"/>
              </w:rPr>
              <w:t xml:space="preserve">: A measure of water clarity </w:t>
            </w:r>
          </w:p>
          <w:p w14:paraId="123C5925" w14:textId="77777777" w:rsidR="004A3435" w:rsidRPr="00BE60CD" w:rsidRDefault="004A3435" w:rsidP="004A3435">
            <w:pPr>
              <w:widowControl/>
              <w:overflowPunct/>
              <w:spacing w:after="120" w:line="240" w:lineRule="auto"/>
              <w:jc w:val="left"/>
              <w:textAlignment w:val="auto"/>
              <w:rPr>
                <w:rFonts w:cs="Arial"/>
                <w:b/>
                <w:bCs/>
                <w:color w:val="000000"/>
                <w:sz w:val="18"/>
                <w:szCs w:val="18"/>
              </w:rPr>
            </w:pPr>
            <w:r w:rsidRPr="00BE60CD">
              <w:rPr>
                <w:rFonts w:cs="Arial"/>
                <w:b/>
                <w:bCs/>
                <w:color w:val="000000"/>
                <w:sz w:val="18"/>
                <w:szCs w:val="18"/>
              </w:rPr>
              <w:t xml:space="preserve">Million fibers per liter (MFL) </w:t>
            </w:r>
          </w:p>
          <w:p w14:paraId="3034A30E" w14:textId="77777777" w:rsidR="004A3435" w:rsidRPr="00BE60CD" w:rsidRDefault="004A3435" w:rsidP="004A3435">
            <w:pPr>
              <w:widowControl/>
              <w:overflowPunct/>
              <w:spacing w:after="120" w:line="240" w:lineRule="auto"/>
              <w:jc w:val="left"/>
              <w:textAlignment w:val="auto"/>
              <w:rPr>
                <w:rFonts w:cs="Arial"/>
                <w:b/>
                <w:bCs/>
                <w:color w:val="000000"/>
                <w:sz w:val="18"/>
                <w:szCs w:val="18"/>
              </w:rPr>
            </w:pPr>
          </w:p>
          <w:p w14:paraId="6E6015EB" w14:textId="77777777" w:rsidR="004A3435" w:rsidRPr="00BE60CD" w:rsidRDefault="004A3435" w:rsidP="004A3435">
            <w:pPr>
              <w:widowControl/>
              <w:overflowPunct/>
              <w:spacing w:after="120" w:line="240" w:lineRule="auto"/>
              <w:jc w:val="left"/>
              <w:textAlignment w:val="auto"/>
              <w:rPr>
                <w:rFonts w:cs="Arial"/>
                <w:b/>
                <w:bCs/>
                <w:sz w:val="18"/>
                <w:szCs w:val="18"/>
              </w:rPr>
            </w:pPr>
          </w:p>
        </w:tc>
        <w:tc>
          <w:tcPr>
            <w:tcW w:w="4680" w:type="dxa"/>
          </w:tcPr>
          <w:p w14:paraId="7735BD4C" w14:textId="77777777" w:rsidR="004A3435" w:rsidRPr="00BE60CD" w:rsidRDefault="004A3435" w:rsidP="004A34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Treatment Technique (TT)</w:t>
            </w:r>
            <w:r w:rsidRPr="00BE60CD">
              <w:rPr>
                <w:rFonts w:cs="Arial"/>
                <w:color w:val="000000"/>
                <w:sz w:val="18"/>
                <w:szCs w:val="18"/>
              </w:rPr>
              <w:t xml:space="preserve">: A required process intended to reduce the level of a contaminant in drinking water </w:t>
            </w:r>
          </w:p>
          <w:p w14:paraId="63AC0039" w14:textId="77777777" w:rsidR="004A3435" w:rsidRPr="00BE60CD" w:rsidRDefault="004A3435" w:rsidP="004A34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Level 1 Assessment</w:t>
            </w:r>
            <w:r w:rsidRPr="00BE60CD">
              <w:rPr>
                <w:rFonts w:cs="Arial"/>
                <w:color w:val="000000"/>
                <w:sz w:val="18"/>
                <w:szCs w:val="18"/>
              </w:rPr>
              <w:t xml:space="preserve">: A study of the water system to identify potential problems and determine (if possible) why total coliform bacteria have been found in the water system </w:t>
            </w:r>
          </w:p>
          <w:p w14:paraId="58916F09" w14:textId="77777777" w:rsidR="004A3435" w:rsidRPr="00BE60CD" w:rsidRDefault="004A3435" w:rsidP="004A34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Level 2 Assessment</w:t>
            </w:r>
            <w:r w:rsidRPr="00BE60CD">
              <w:rPr>
                <w:rFonts w:cs="Arial"/>
                <w:color w:val="000000"/>
                <w:sz w:val="18"/>
                <w:szCs w:val="18"/>
              </w:rPr>
              <w:t xml:space="preserve">: A very detailed study of the water system to identify potential problems and determine (if possible) why an </w:t>
            </w:r>
            <w:r w:rsidRPr="00BE60CD">
              <w:rPr>
                <w:rFonts w:cs="Arial"/>
                <w:i/>
                <w:iCs/>
                <w:color w:val="000000"/>
                <w:sz w:val="18"/>
                <w:szCs w:val="18"/>
              </w:rPr>
              <w:t xml:space="preserve">E. coli </w:t>
            </w:r>
            <w:r w:rsidRPr="00BE60CD">
              <w:rPr>
                <w:rFonts w:cs="Arial"/>
                <w:color w:val="000000"/>
                <w:sz w:val="18"/>
                <w:szCs w:val="18"/>
              </w:rPr>
              <w:t xml:space="preserve">MCL violation has occurred and/or why total coliform bacteria have been found in the water system on multiple occasions </w:t>
            </w:r>
          </w:p>
          <w:p w14:paraId="31F0D96A" w14:textId="3C7831DA" w:rsidR="000F5635" w:rsidRPr="00BE60CD" w:rsidRDefault="004A3435" w:rsidP="000F56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Action Level (AL)</w:t>
            </w:r>
            <w:r w:rsidRPr="00BE60CD">
              <w:rPr>
                <w:rFonts w:cs="Arial"/>
                <w:color w:val="000000"/>
                <w:sz w:val="18"/>
                <w:szCs w:val="18"/>
              </w:rPr>
              <w:t>: The concentration of a contaminant which, if exceeded, triggers treatment, or other requirements which a water system must follow</w:t>
            </w:r>
          </w:p>
          <w:p w14:paraId="30517F31" w14:textId="77777777" w:rsidR="00090668" w:rsidRDefault="00090668" w:rsidP="004A3435">
            <w:pPr>
              <w:widowControl/>
              <w:overflowPunct/>
              <w:spacing w:after="120" w:line="240" w:lineRule="auto"/>
              <w:jc w:val="left"/>
              <w:textAlignment w:val="auto"/>
              <w:rPr>
                <w:ins w:id="9" w:author="Medina, Jason" w:date="2021-06-17T14:15:00Z"/>
                <w:rFonts w:cs="Arial"/>
                <w:b/>
                <w:bCs/>
                <w:color w:val="000000"/>
                <w:sz w:val="18"/>
                <w:szCs w:val="18"/>
              </w:rPr>
            </w:pPr>
          </w:p>
          <w:p w14:paraId="462DC37D" w14:textId="6FD09783" w:rsidR="004A3435" w:rsidRPr="00BE60CD" w:rsidRDefault="004A3435" w:rsidP="004A34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Maximum Contaminant Level (MCL)</w:t>
            </w:r>
            <w:r w:rsidRPr="00BE60CD">
              <w:rPr>
                <w:rFonts w:cs="Arial"/>
                <w:color w:val="000000"/>
                <w:sz w:val="18"/>
                <w:szCs w:val="18"/>
              </w:rPr>
              <w:t xml:space="preserve">: The highest level of a contaminant that is allowed in drinking water.  MCLs are set as close to the MCLGs as feasible using the best available treatment technology. </w:t>
            </w:r>
          </w:p>
          <w:p w14:paraId="64B16EB8" w14:textId="77777777" w:rsidR="004A3435" w:rsidRPr="00BE60CD" w:rsidRDefault="004A3435" w:rsidP="004A34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Picocuries per liter (</w:t>
            </w:r>
            <w:proofErr w:type="spellStart"/>
            <w:r w:rsidRPr="00BE60CD">
              <w:rPr>
                <w:rFonts w:cs="Arial"/>
                <w:b/>
                <w:bCs/>
                <w:color w:val="000000"/>
                <w:sz w:val="18"/>
                <w:szCs w:val="18"/>
              </w:rPr>
              <w:t>pCi</w:t>
            </w:r>
            <w:proofErr w:type="spellEnd"/>
            <w:r w:rsidRPr="00BE60CD">
              <w:rPr>
                <w:rFonts w:cs="Arial"/>
                <w:b/>
                <w:bCs/>
                <w:color w:val="000000"/>
                <w:sz w:val="18"/>
                <w:szCs w:val="18"/>
              </w:rPr>
              <w:t>/L)</w:t>
            </w:r>
            <w:r w:rsidRPr="00BE60CD">
              <w:rPr>
                <w:rFonts w:cs="Arial"/>
                <w:color w:val="000000"/>
                <w:sz w:val="18"/>
                <w:szCs w:val="18"/>
              </w:rPr>
              <w:t xml:space="preserve">: Measure of the radioactivity in water </w:t>
            </w:r>
          </w:p>
          <w:p w14:paraId="05F180A8" w14:textId="77777777" w:rsidR="004A3435" w:rsidRPr="00BE60CD" w:rsidRDefault="004A3435" w:rsidP="004A34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ppm</w:t>
            </w:r>
            <w:r w:rsidRPr="00BE60CD">
              <w:rPr>
                <w:rFonts w:cs="Arial"/>
                <w:color w:val="000000"/>
                <w:sz w:val="18"/>
                <w:szCs w:val="18"/>
              </w:rPr>
              <w:t xml:space="preserve">: Parts per million or Milligrams per liter (mg/L) </w:t>
            </w:r>
          </w:p>
          <w:p w14:paraId="1CE17185" w14:textId="77777777" w:rsidR="004A3435" w:rsidRPr="00BE60CD" w:rsidRDefault="004A3435" w:rsidP="004A34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ppb</w:t>
            </w:r>
            <w:r w:rsidRPr="00BE60CD">
              <w:rPr>
                <w:rFonts w:cs="Arial"/>
                <w:color w:val="000000"/>
                <w:sz w:val="18"/>
                <w:szCs w:val="18"/>
              </w:rPr>
              <w:t>: Parts per billion or Micrograms per liter (</w:t>
            </w:r>
            <w:proofErr w:type="spellStart"/>
            <w:r w:rsidRPr="00BE60CD">
              <w:rPr>
                <w:rFonts w:cs="Arial"/>
                <w:color w:val="000000"/>
                <w:sz w:val="18"/>
                <w:szCs w:val="18"/>
              </w:rPr>
              <w:t>μg</w:t>
            </w:r>
            <w:proofErr w:type="spellEnd"/>
            <w:r w:rsidRPr="00BE60CD">
              <w:rPr>
                <w:rFonts w:cs="Arial"/>
                <w:color w:val="000000"/>
                <w:sz w:val="18"/>
                <w:szCs w:val="18"/>
              </w:rPr>
              <w:t xml:space="preserve">/L) </w:t>
            </w:r>
          </w:p>
          <w:p w14:paraId="0FCCAF8B" w14:textId="77777777" w:rsidR="004A3435" w:rsidRPr="00BE60CD" w:rsidRDefault="004A3435" w:rsidP="004A3435">
            <w:pPr>
              <w:widowControl/>
              <w:overflowPunct/>
              <w:spacing w:after="120" w:line="240" w:lineRule="auto"/>
              <w:jc w:val="left"/>
              <w:textAlignment w:val="auto"/>
              <w:rPr>
                <w:rFonts w:cs="Arial"/>
                <w:color w:val="000000"/>
                <w:sz w:val="18"/>
                <w:szCs w:val="18"/>
              </w:rPr>
            </w:pPr>
            <w:r w:rsidRPr="00BE60CD">
              <w:rPr>
                <w:rFonts w:cs="Arial"/>
                <w:b/>
                <w:bCs/>
                <w:color w:val="000000"/>
                <w:sz w:val="18"/>
                <w:szCs w:val="18"/>
              </w:rPr>
              <w:t>ppt</w:t>
            </w:r>
            <w:r w:rsidRPr="00BE60CD">
              <w:rPr>
                <w:rFonts w:cs="Arial"/>
                <w:color w:val="000000"/>
                <w:sz w:val="18"/>
                <w:szCs w:val="18"/>
              </w:rPr>
              <w:t xml:space="preserve">: Parts per trillion or Nanograms per liter (ng/L) </w:t>
            </w:r>
          </w:p>
          <w:p w14:paraId="3A773220" w14:textId="77777777" w:rsidR="004A3435" w:rsidRPr="00BE60CD" w:rsidRDefault="004A3435" w:rsidP="004A3435">
            <w:pPr>
              <w:widowControl/>
              <w:overflowPunct/>
              <w:spacing w:after="120" w:line="240" w:lineRule="auto"/>
              <w:jc w:val="left"/>
              <w:textAlignment w:val="auto"/>
              <w:rPr>
                <w:rFonts w:cs="Arial"/>
                <w:color w:val="000000"/>
                <w:sz w:val="18"/>
                <w:szCs w:val="18"/>
              </w:rPr>
            </w:pPr>
            <w:proofErr w:type="spellStart"/>
            <w:r w:rsidRPr="00BE60CD">
              <w:rPr>
                <w:rFonts w:cs="Arial"/>
                <w:b/>
                <w:bCs/>
                <w:color w:val="000000"/>
                <w:sz w:val="18"/>
                <w:szCs w:val="18"/>
              </w:rPr>
              <w:t>ppq</w:t>
            </w:r>
            <w:proofErr w:type="spellEnd"/>
            <w:r w:rsidRPr="00BE60CD">
              <w:rPr>
                <w:rFonts w:cs="Arial"/>
                <w:color w:val="000000"/>
                <w:sz w:val="18"/>
                <w:szCs w:val="18"/>
              </w:rPr>
              <w:t>: Parts per quadrillion or Picograms per liter (</w:t>
            </w:r>
            <w:proofErr w:type="spellStart"/>
            <w:r w:rsidRPr="00BE60CD">
              <w:rPr>
                <w:rFonts w:cs="Arial"/>
                <w:color w:val="000000"/>
                <w:sz w:val="18"/>
                <w:szCs w:val="18"/>
              </w:rPr>
              <w:t>pg</w:t>
            </w:r>
            <w:proofErr w:type="spellEnd"/>
            <w:r w:rsidRPr="00BE60CD">
              <w:rPr>
                <w:rFonts w:cs="Arial"/>
                <w:color w:val="000000"/>
                <w:sz w:val="18"/>
                <w:szCs w:val="18"/>
              </w:rPr>
              <w:t>/L)</w:t>
            </w:r>
          </w:p>
        </w:tc>
      </w:tr>
    </w:tbl>
    <w:p w14:paraId="40A6EA4A" w14:textId="77777777" w:rsidR="006A694D" w:rsidRDefault="006A694D" w:rsidP="006A694D">
      <w:pPr>
        <w:pStyle w:val="BodyText"/>
        <w:spacing w:line="240" w:lineRule="atLeast"/>
        <w:jc w:val="both"/>
        <w:rPr>
          <w:rFonts w:cs="Arial"/>
          <w:b w:val="0"/>
          <w:color w:val="000000"/>
          <w:sz w:val="18"/>
          <w:szCs w:val="18"/>
        </w:rPr>
      </w:pPr>
    </w:p>
    <w:p w14:paraId="622D6BC6" w14:textId="77777777" w:rsidR="00145651" w:rsidRDefault="00145651" w:rsidP="00145651">
      <w:pPr>
        <w:pStyle w:val="Heading3"/>
        <w:spacing w:before="240" w:after="120" w:line="240" w:lineRule="atLeast"/>
        <w:jc w:val="left"/>
        <w:rPr>
          <w:i/>
          <w:sz w:val="20"/>
          <w:u w:val="single"/>
        </w:rPr>
      </w:pPr>
      <w:r>
        <w:rPr>
          <w:i/>
          <w:sz w:val="20"/>
          <w:u w:val="single"/>
        </w:rPr>
        <w:t>Water Quality Data:</w:t>
      </w:r>
    </w:p>
    <w:p w14:paraId="038C739C" w14:textId="363F80A9" w:rsidR="00145651" w:rsidRPr="00017AB8" w:rsidDel="00145651" w:rsidRDefault="00145651" w:rsidP="00145651">
      <w:pPr>
        <w:spacing w:line="240" w:lineRule="atLeast"/>
        <w:rPr>
          <w:del w:id="10" w:author="Author"/>
          <w:sz w:val="20"/>
        </w:rPr>
      </w:pPr>
      <w:r>
        <w:rPr>
          <w:sz w:val="20"/>
        </w:rPr>
        <w:t>The data in the attached</w:t>
      </w:r>
      <w:r w:rsidRPr="00017AB8">
        <w:rPr>
          <w:sz w:val="20"/>
        </w:rPr>
        <w:t xml:space="preserve"> tables are from water samples that have been analy</w:t>
      </w:r>
      <w:r>
        <w:rPr>
          <w:sz w:val="20"/>
        </w:rPr>
        <w:t>zed by independent laboratories</w:t>
      </w:r>
      <w:r w:rsidRPr="00017AB8">
        <w:rPr>
          <w:sz w:val="20"/>
        </w:rPr>
        <w:t xml:space="preserve"> certified by the Arizona Department of Health </w:t>
      </w:r>
      <w:proofErr w:type="spellStart"/>
      <w:r w:rsidRPr="00017AB8">
        <w:rPr>
          <w:sz w:val="20"/>
        </w:rPr>
        <w:t>Services.</w:t>
      </w:r>
    </w:p>
    <w:p w14:paraId="16331EE5" w14:textId="6678164A" w:rsidR="006A694D" w:rsidRPr="00017AB8" w:rsidDel="00145651" w:rsidRDefault="006A694D" w:rsidP="006A694D">
      <w:pPr>
        <w:spacing w:line="240" w:lineRule="atLeast"/>
        <w:rPr>
          <w:del w:id="11" w:author="Author"/>
          <w:sz w:val="20"/>
        </w:rPr>
      </w:pPr>
    </w:p>
    <w:p w14:paraId="2FC554C7" w14:textId="73C55806" w:rsidR="00B36312" w:rsidDel="00BA5804" w:rsidRDefault="00B36312" w:rsidP="006A694D">
      <w:pPr>
        <w:pStyle w:val="BodyText"/>
        <w:spacing w:line="200" w:lineRule="atLeast"/>
        <w:jc w:val="both"/>
        <w:rPr>
          <w:del w:id="12" w:author="Author"/>
          <w:sz w:val="16"/>
        </w:rPr>
      </w:pPr>
    </w:p>
    <w:tbl>
      <w:tblPr>
        <w:tblpPr w:leftFromText="180" w:rightFromText="180" w:vertAnchor="text" w:horzAnchor="page" w:tblpX="646" w:tblpY="90"/>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90"/>
        <w:gridCol w:w="1710"/>
        <w:gridCol w:w="1710"/>
        <w:gridCol w:w="990"/>
        <w:gridCol w:w="900"/>
        <w:gridCol w:w="1350"/>
        <w:gridCol w:w="1530"/>
      </w:tblGrid>
      <w:tr w:rsidR="00BE60CD" w:rsidRPr="008704E2" w14:paraId="610F5502" w14:textId="77777777" w:rsidTr="00691E7F">
        <w:trPr>
          <w:trHeight w:val="800"/>
        </w:trPr>
        <w:tc>
          <w:tcPr>
            <w:tcW w:w="1885" w:type="dxa"/>
            <w:tcBorders>
              <w:bottom w:val="single" w:sz="4" w:space="0" w:color="auto"/>
            </w:tcBorders>
            <w:shd w:val="clear" w:color="auto" w:fill="BDD6EE" w:themeFill="accent1" w:themeFillTint="66"/>
            <w:vAlign w:val="center"/>
          </w:tcPr>
          <w:p w14:paraId="32C8889D" w14:textId="263037A5" w:rsidR="00BE60CD" w:rsidRPr="008704E2" w:rsidRDefault="00BE60CD" w:rsidP="00BE60CD">
            <w:pPr>
              <w:pStyle w:val="BodyTextIndent"/>
              <w:spacing w:after="0" w:line="240" w:lineRule="auto"/>
              <w:ind w:left="0"/>
              <w:rPr>
                <w:rFonts w:cs="Arial"/>
                <w:sz w:val="16"/>
                <w:szCs w:val="16"/>
              </w:rPr>
            </w:pPr>
            <w:bookmarkStart w:id="13" w:name="pgfId-48331"/>
            <w:bookmarkStart w:id="14" w:name="pgfId-48336"/>
            <w:bookmarkStart w:id="15" w:name="pgfId-48337"/>
            <w:bookmarkStart w:id="16" w:name="pgfId-48338"/>
            <w:bookmarkStart w:id="17" w:name="pgfId-72776"/>
            <w:bookmarkStart w:id="18" w:name="pgfId-48358"/>
            <w:bookmarkStart w:id="19" w:name="pgfId-75444"/>
            <w:bookmarkStart w:id="20" w:name="pgfId-76353"/>
            <w:bookmarkStart w:id="21" w:name="pgfId-76354"/>
            <w:bookmarkEnd w:id="13"/>
            <w:bookmarkEnd w:id="14"/>
            <w:bookmarkEnd w:id="15"/>
            <w:bookmarkEnd w:id="16"/>
            <w:bookmarkEnd w:id="17"/>
            <w:bookmarkEnd w:id="18"/>
            <w:bookmarkEnd w:id="19"/>
            <w:bookmarkEnd w:id="20"/>
            <w:bookmarkEnd w:id="21"/>
            <w:r w:rsidRPr="008704E2">
              <w:rPr>
                <w:rFonts w:cs="Arial"/>
                <w:b/>
                <w:sz w:val="16"/>
                <w:szCs w:val="16"/>
              </w:rPr>
              <w:t>Disinfectants</w:t>
            </w:r>
            <w:proofErr w:type="spellEnd"/>
          </w:p>
        </w:tc>
        <w:tc>
          <w:tcPr>
            <w:tcW w:w="990" w:type="dxa"/>
            <w:tcBorders>
              <w:bottom w:val="single" w:sz="4" w:space="0" w:color="auto"/>
            </w:tcBorders>
            <w:shd w:val="clear" w:color="auto" w:fill="BDD6EE" w:themeFill="accent1" w:themeFillTint="66"/>
            <w:vAlign w:val="center"/>
          </w:tcPr>
          <w:p w14:paraId="522DAB34" w14:textId="77777777" w:rsidR="00BE60CD" w:rsidRPr="008704E2" w:rsidRDefault="00BE60CD" w:rsidP="00BE60CD">
            <w:pPr>
              <w:keepNext/>
              <w:spacing w:line="240" w:lineRule="auto"/>
              <w:jc w:val="center"/>
              <w:rPr>
                <w:rFonts w:cs="Arial"/>
                <w:b/>
                <w:sz w:val="16"/>
                <w:szCs w:val="16"/>
              </w:rPr>
            </w:pPr>
            <w:r w:rsidRPr="008704E2">
              <w:rPr>
                <w:rFonts w:cs="Arial"/>
                <w:b/>
                <w:sz w:val="16"/>
                <w:szCs w:val="16"/>
              </w:rPr>
              <w:t>Violation</w:t>
            </w:r>
          </w:p>
          <w:p w14:paraId="3D0DBE43" w14:textId="77777777" w:rsidR="00BE60CD" w:rsidRPr="008704E2" w:rsidRDefault="00BE60CD" w:rsidP="00BE60CD">
            <w:pPr>
              <w:keepNext/>
              <w:spacing w:line="240" w:lineRule="auto"/>
              <w:jc w:val="center"/>
              <w:rPr>
                <w:rFonts w:cs="Arial"/>
                <w:b/>
                <w:sz w:val="16"/>
                <w:szCs w:val="16"/>
              </w:rPr>
            </w:pPr>
            <w:r w:rsidRPr="008704E2">
              <w:rPr>
                <w:rFonts w:cs="Arial"/>
                <w:b/>
                <w:sz w:val="16"/>
                <w:szCs w:val="16"/>
              </w:rPr>
              <w:t>Y or N</w:t>
            </w:r>
          </w:p>
        </w:tc>
        <w:tc>
          <w:tcPr>
            <w:tcW w:w="1710" w:type="dxa"/>
            <w:tcBorders>
              <w:bottom w:val="single" w:sz="4" w:space="0" w:color="auto"/>
            </w:tcBorders>
            <w:shd w:val="clear" w:color="auto" w:fill="BDD6EE" w:themeFill="accent1" w:themeFillTint="66"/>
            <w:vAlign w:val="center"/>
          </w:tcPr>
          <w:p w14:paraId="5348D80C" w14:textId="77777777" w:rsidR="00BE60CD" w:rsidRPr="008704E2" w:rsidRDefault="00BE60CD" w:rsidP="00BE60CD">
            <w:pPr>
              <w:pStyle w:val="BodyTextIndent"/>
              <w:spacing w:after="0" w:line="240" w:lineRule="auto"/>
              <w:ind w:left="0"/>
              <w:jc w:val="center"/>
              <w:rPr>
                <w:rFonts w:cs="Arial"/>
                <w:b/>
                <w:sz w:val="16"/>
                <w:szCs w:val="16"/>
              </w:rPr>
            </w:pPr>
            <w:r w:rsidRPr="008704E2">
              <w:rPr>
                <w:rFonts w:cs="Arial"/>
                <w:b/>
                <w:sz w:val="16"/>
                <w:szCs w:val="16"/>
              </w:rPr>
              <w:t>Running Annual Average (RAA)</w:t>
            </w:r>
          </w:p>
        </w:tc>
        <w:tc>
          <w:tcPr>
            <w:tcW w:w="1710" w:type="dxa"/>
            <w:tcBorders>
              <w:bottom w:val="single" w:sz="4" w:space="0" w:color="auto"/>
            </w:tcBorders>
            <w:shd w:val="clear" w:color="auto" w:fill="BDD6EE" w:themeFill="accent1" w:themeFillTint="66"/>
            <w:vAlign w:val="center"/>
          </w:tcPr>
          <w:p w14:paraId="2C9517AE"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b/>
                <w:sz w:val="16"/>
                <w:szCs w:val="16"/>
              </w:rPr>
              <w:t>Range of All Samples (L-H)</w:t>
            </w:r>
          </w:p>
        </w:tc>
        <w:tc>
          <w:tcPr>
            <w:tcW w:w="990" w:type="dxa"/>
            <w:tcBorders>
              <w:bottom w:val="single" w:sz="4" w:space="0" w:color="auto"/>
            </w:tcBorders>
            <w:shd w:val="clear" w:color="auto" w:fill="BDD6EE" w:themeFill="accent1" w:themeFillTint="66"/>
            <w:vAlign w:val="center"/>
          </w:tcPr>
          <w:p w14:paraId="6EBA4773" w14:textId="77777777" w:rsidR="00BE60CD" w:rsidRPr="008704E2" w:rsidRDefault="00BE60CD" w:rsidP="00BE60CD">
            <w:pPr>
              <w:pStyle w:val="BodyTextIndent"/>
              <w:spacing w:after="0" w:line="240" w:lineRule="auto"/>
              <w:ind w:left="0"/>
              <w:jc w:val="center"/>
              <w:rPr>
                <w:rFonts w:cs="Arial"/>
                <w:sz w:val="16"/>
                <w:szCs w:val="16"/>
              </w:rPr>
            </w:pPr>
            <w:r>
              <w:rPr>
                <w:rFonts w:cs="Arial"/>
                <w:b/>
                <w:sz w:val="16"/>
                <w:szCs w:val="16"/>
              </w:rPr>
              <w:t>MRDL</w:t>
            </w:r>
          </w:p>
        </w:tc>
        <w:tc>
          <w:tcPr>
            <w:tcW w:w="900" w:type="dxa"/>
            <w:tcBorders>
              <w:bottom w:val="single" w:sz="4" w:space="0" w:color="auto"/>
            </w:tcBorders>
            <w:shd w:val="clear" w:color="auto" w:fill="BDD6EE" w:themeFill="accent1" w:themeFillTint="66"/>
            <w:vAlign w:val="center"/>
          </w:tcPr>
          <w:p w14:paraId="7B53ED6D" w14:textId="77777777" w:rsidR="00BE60CD" w:rsidRPr="008704E2" w:rsidRDefault="00BE60CD" w:rsidP="00BE60CD">
            <w:pPr>
              <w:pStyle w:val="BodyTextIndent"/>
              <w:spacing w:after="0" w:line="240" w:lineRule="auto"/>
              <w:ind w:left="0"/>
              <w:jc w:val="center"/>
              <w:rPr>
                <w:rFonts w:cs="Arial"/>
                <w:sz w:val="16"/>
                <w:szCs w:val="16"/>
              </w:rPr>
            </w:pPr>
            <w:r>
              <w:rPr>
                <w:rFonts w:cs="Arial"/>
                <w:b/>
                <w:sz w:val="16"/>
                <w:szCs w:val="16"/>
              </w:rPr>
              <w:t>MRDLG</w:t>
            </w:r>
          </w:p>
        </w:tc>
        <w:tc>
          <w:tcPr>
            <w:tcW w:w="1350" w:type="dxa"/>
            <w:tcBorders>
              <w:bottom w:val="single" w:sz="4" w:space="0" w:color="auto"/>
            </w:tcBorders>
            <w:shd w:val="clear" w:color="auto" w:fill="BDD6EE" w:themeFill="accent1" w:themeFillTint="66"/>
            <w:vAlign w:val="center"/>
          </w:tcPr>
          <w:p w14:paraId="5DC8691B"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b/>
                <w:sz w:val="16"/>
                <w:szCs w:val="16"/>
              </w:rPr>
              <w:t>Sample Month</w:t>
            </w:r>
            <w:r>
              <w:rPr>
                <w:rFonts w:cs="Arial"/>
                <w:b/>
                <w:sz w:val="16"/>
                <w:szCs w:val="16"/>
              </w:rPr>
              <w:t>/</w:t>
            </w:r>
            <w:r w:rsidRPr="008704E2">
              <w:rPr>
                <w:rFonts w:cs="Arial"/>
                <w:b/>
                <w:sz w:val="16"/>
                <w:szCs w:val="16"/>
              </w:rPr>
              <w:t>Year</w:t>
            </w:r>
          </w:p>
        </w:tc>
        <w:tc>
          <w:tcPr>
            <w:tcW w:w="1530" w:type="dxa"/>
            <w:tcBorders>
              <w:bottom w:val="single" w:sz="4" w:space="0" w:color="auto"/>
            </w:tcBorders>
            <w:shd w:val="clear" w:color="auto" w:fill="BDD6EE" w:themeFill="accent1" w:themeFillTint="66"/>
            <w:vAlign w:val="center"/>
          </w:tcPr>
          <w:p w14:paraId="6C750A0C"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b/>
                <w:sz w:val="16"/>
                <w:szCs w:val="16"/>
              </w:rPr>
              <w:t>Likely Source of Contamination</w:t>
            </w:r>
          </w:p>
        </w:tc>
      </w:tr>
      <w:tr w:rsidR="00BE60CD" w:rsidRPr="008704E2" w14:paraId="65721E56" w14:textId="77777777" w:rsidTr="00691E7F">
        <w:trPr>
          <w:trHeight w:val="530"/>
        </w:trPr>
        <w:tc>
          <w:tcPr>
            <w:tcW w:w="1885" w:type="dxa"/>
            <w:tcBorders>
              <w:bottom w:val="single" w:sz="4" w:space="0" w:color="auto"/>
            </w:tcBorders>
            <w:shd w:val="clear" w:color="auto" w:fill="FFFFFF"/>
            <w:vAlign w:val="center"/>
          </w:tcPr>
          <w:p w14:paraId="243D283D" w14:textId="77777777" w:rsidR="00BE60CD" w:rsidRPr="008704E2" w:rsidRDefault="00BE60CD" w:rsidP="00BE60CD">
            <w:pPr>
              <w:pStyle w:val="BodyTextIndent"/>
              <w:spacing w:after="0" w:line="240" w:lineRule="auto"/>
              <w:ind w:left="0"/>
              <w:rPr>
                <w:rFonts w:cs="Arial"/>
                <w:b/>
                <w:sz w:val="18"/>
                <w:szCs w:val="18"/>
              </w:rPr>
            </w:pPr>
            <w:r w:rsidRPr="008704E2">
              <w:rPr>
                <w:rFonts w:cs="Arial"/>
                <w:b/>
                <w:sz w:val="18"/>
                <w:szCs w:val="18"/>
              </w:rPr>
              <w:t>Chlorine (ppm)</w:t>
            </w:r>
          </w:p>
        </w:tc>
        <w:tc>
          <w:tcPr>
            <w:tcW w:w="990" w:type="dxa"/>
            <w:tcBorders>
              <w:bottom w:val="single" w:sz="4" w:space="0" w:color="auto"/>
            </w:tcBorders>
            <w:shd w:val="clear" w:color="auto" w:fill="FFFFFF"/>
            <w:vAlign w:val="center"/>
          </w:tcPr>
          <w:p w14:paraId="593D5EF6" w14:textId="77777777" w:rsidR="00BE60CD" w:rsidRPr="008704E2" w:rsidRDefault="00BE60CD" w:rsidP="00BE60CD">
            <w:pPr>
              <w:pStyle w:val="BodyTextIndent"/>
              <w:spacing w:after="0" w:line="240" w:lineRule="auto"/>
              <w:ind w:left="0"/>
              <w:jc w:val="center"/>
              <w:rPr>
                <w:rFonts w:cs="Arial"/>
                <w:sz w:val="20"/>
              </w:rPr>
            </w:pPr>
            <w:r>
              <w:rPr>
                <w:rFonts w:cs="Arial"/>
                <w:sz w:val="20"/>
              </w:rPr>
              <w:t>N</w:t>
            </w:r>
          </w:p>
        </w:tc>
        <w:tc>
          <w:tcPr>
            <w:tcW w:w="1710" w:type="dxa"/>
            <w:tcBorders>
              <w:bottom w:val="single" w:sz="4" w:space="0" w:color="auto"/>
            </w:tcBorders>
            <w:shd w:val="clear" w:color="auto" w:fill="FFFFFF"/>
            <w:vAlign w:val="center"/>
          </w:tcPr>
          <w:p w14:paraId="2270E30E" w14:textId="6F3824F0" w:rsidR="00BE60CD" w:rsidRPr="008704E2" w:rsidRDefault="009A2C9C" w:rsidP="00BE60CD">
            <w:pPr>
              <w:pStyle w:val="BodyTextIndent"/>
              <w:spacing w:after="0" w:line="240" w:lineRule="auto"/>
              <w:ind w:left="0"/>
              <w:jc w:val="center"/>
              <w:rPr>
                <w:rFonts w:cs="Arial"/>
                <w:sz w:val="20"/>
              </w:rPr>
            </w:pPr>
            <w:r>
              <w:rPr>
                <w:rFonts w:cs="Arial"/>
                <w:sz w:val="20"/>
              </w:rPr>
              <w:t>1.48</w:t>
            </w:r>
          </w:p>
        </w:tc>
        <w:tc>
          <w:tcPr>
            <w:tcW w:w="1710" w:type="dxa"/>
            <w:tcBorders>
              <w:bottom w:val="single" w:sz="4" w:space="0" w:color="auto"/>
            </w:tcBorders>
            <w:shd w:val="clear" w:color="auto" w:fill="FFFFFF"/>
            <w:vAlign w:val="center"/>
          </w:tcPr>
          <w:p w14:paraId="5FC341D6" w14:textId="6EBB9BF8" w:rsidR="00BE60CD" w:rsidRPr="008704E2" w:rsidRDefault="00C7184D" w:rsidP="00BE60CD">
            <w:pPr>
              <w:pStyle w:val="BodyTextIndent"/>
              <w:spacing w:after="0" w:line="240" w:lineRule="auto"/>
              <w:ind w:left="0"/>
              <w:jc w:val="center"/>
              <w:rPr>
                <w:rFonts w:cs="Arial"/>
                <w:sz w:val="20"/>
              </w:rPr>
            </w:pPr>
            <w:r>
              <w:rPr>
                <w:rFonts w:cs="Arial"/>
                <w:sz w:val="20"/>
              </w:rPr>
              <w:t>0.64 – 3.0</w:t>
            </w:r>
          </w:p>
        </w:tc>
        <w:tc>
          <w:tcPr>
            <w:tcW w:w="990" w:type="dxa"/>
            <w:tcBorders>
              <w:bottom w:val="single" w:sz="4" w:space="0" w:color="auto"/>
            </w:tcBorders>
            <w:shd w:val="clear" w:color="auto" w:fill="FFFFFF"/>
            <w:vAlign w:val="center"/>
          </w:tcPr>
          <w:p w14:paraId="60C19FF5"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sz w:val="16"/>
                <w:szCs w:val="16"/>
              </w:rPr>
              <w:t>4</w:t>
            </w:r>
          </w:p>
        </w:tc>
        <w:tc>
          <w:tcPr>
            <w:tcW w:w="900" w:type="dxa"/>
            <w:tcBorders>
              <w:bottom w:val="single" w:sz="4" w:space="0" w:color="auto"/>
            </w:tcBorders>
            <w:shd w:val="clear" w:color="auto" w:fill="FFFFFF"/>
            <w:vAlign w:val="center"/>
          </w:tcPr>
          <w:p w14:paraId="7F226573"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sz w:val="16"/>
                <w:szCs w:val="16"/>
              </w:rPr>
              <w:t>4</w:t>
            </w:r>
          </w:p>
        </w:tc>
        <w:tc>
          <w:tcPr>
            <w:tcW w:w="1350" w:type="dxa"/>
            <w:tcBorders>
              <w:bottom w:val="single" w:sz="4" w:space="0" w:color="auto"/>
            </w:tcBorders>
            <w:shd w:val="clear" w:color="auto" w:fill="FFFFFF"/>
            <w:vAlign w:val="center"/>
          </w:tcPr>
          <w:p w14:paraId="659AD8BF" w14:textId="7D7C4EA5" w:rsidR="00BE60CD" w:rsidRPr="008704E2" w:rsidRDefault="00BE60CD" w:rsidP="00BE60CD">
            <w:pPr>
              <w:pStyle w:val="BodyTextIndent"/>
              <w:spacing w:after="0" w:line="240" w:lineRule="auto"/>
              <w:ind w:left="0"/>
              <w:jc w:val="center"/>
              <w:rPr>
                <w:rFonts w:cs="Arial"/>
                <w:sz w:val="16"/>
                <w:szCs w:val="16"/>
              </w:rPr>
            </w:pPr>
            <w:r>
              <w:rPr>
                <w:rFonts w:cs="Arial"/>
                <w:sz w:val="16"/>
                <w:szCs w:val="16"/>
              </w:rPr>
              <w:t>20</w:t>
            </w:r>
            <w:r w:rsidR="009A2C9C">
              <w:rPr>
                <w:rFonts w:cs="Arial"/>
                <w:sz w:val="16"/>
                <w:szCs w:val="16"/>
              </w:rPr>
              <w:t>21</w:t>
            </w:r>
          </w:p>
        </w:tc>
        <w:tc>
          <w:tcPr>
            <w:tcW w:w="1530" w:type="dxa"/>
            <w:tcBorders>
              <w:bottom w:val="single" w:sz="4" w:space="0" w:color="auto"/>
            </w:tcBorders>
            <w:shd w:val="clear" w:color="auto" w:fill="FFFFFF"/>
            <w:vAlign w:val="center"/>
          </w:tcPr>
          <w:p w14:paraId="007A0DDA" w14:textId="77777777" w:rsidR="00BE60CD" w:rsidRPr="008704E2" w:rsidRDefault="00BE60CD" w:rsidP="00BE60CD">
            <w:pPr>
              <w:pStyle w:val="BodyTextIndent"/>
              <w:spacing w:after="0" w:line="240" w:lineRule="auto"/>
              <w:ind w:left="0"/>
              <w:rPr>
                <w:rFonts w:cs="Arial"/>
                <w:sz w:val="14"/>
                <w:szCs w:val="14"/>
              </w:rPr>
            </w:pPr>
            <w:r w:rsidRPr="008704E2">
              <w:rPr>
                <w:rFonts w:cs="Arial"/>
                <w:sz w:val="14"/>
                <w:szCs w:val="14"/>
              </w:rPr>
              <w:t>Water additive used to control microbes</w:t>
            </w:r>
          </w:p>
        </w:tc>
      </w:tr>
      <w:tr w:rsidR="00BE60CD" w:rsidRPr="008704E2" w14:paraId="3ADCD48E" w14:textId="77777777" w:rsidTr="00691E7F">
        <w:trPr>
          <w:trHeight w:val="620"/>
        </w:trPr>
        <w:tc>
          <w:tcPr>
            <w:tcW w:w="1885" w:type="dxa"/>
            <w:tcBorders>
              <w:bottom w:val="single" w:sz="4" w:space="0" w:color="auto"/>
            </w:tcBorders>
            <w:shd w:val="clear" w:color="auto" w:fill="BDD6EE" w:themeFill="accent1" w:themeFillTint="66"/>
            <w:vAlign w:val="center"/>
          </w:tcPr>
          <w:p w14:paraId="6602C7A5" w14:textId="77777777" w:rsidR="00BE60CD" w:rsidRPr="008704E2" w:rsidRDefault="00BE60CD" w:rsidP="00BE60CD">
            <w:pPr>
              <w:pStyle w:val="BodyTextIndent"/>
              <w:spacing w:after="0" w:line="240" w:lineRule="auto"/>
              <w:ind w:left="0"/>
              <w:jc w:val="left"/>
              <w:rPr>
                <w:rFonts w:cs="Arial"/>
                <w:sz w:val="16"/>
                <w:szCs w:val="16"/>
              </w:rPr>
            </w:pPr>
            <w:r w:rsidRPr="008704E2">
              <w:rPr>
                <w:rFonts w:cs="Arial"/>
                <w:b/>
                <w:sz w:val="16"/>
                <w:szCs w:val="16"/>
              </w:rPr>
              <w:t>Disinfection By-Products</w:t>
            </w:r>
          </w:p>
        </w:tc>
        <w:tc>
          <w:tcPr>
            <w:tcW w:w="990" w:type="dxa"/>
            <w:tcBorders>
              <w:bottom w:val="single" w:sz="4" w:space="0" w:color="auto"/>
            </w:tcBorders>
            <w:shd w:val="clear" w:color="auto" w:fill="BDD6EE" w:themeFill="accent1" w:themeFillTint="66"/>
            <w:vAlign w:val="center"/>
          </w:tcPr>
          <w:p w14:paraId="13B1FAA8" w14:textId="77777777" w:rsidR="00BE60CD" w:rsidRPr="008704E2" w:rsidRDefault="00BE60CD" w:rsidP="00BE60CD">
            <w:pPr>
              <w:keepNext/>
              <w:spacing w:line="240" w:lineRule="auto"/>
              <w:jc w:val="center"/>
              <w:rPr>
                <w:rFonts w:cs="Arial"/>
                <w:b/>
                <w:sz w:val="16"/>
                <w:szCs w:val="16"/>
              </w:rPr>
            </w:pPr>
            <w:r w:rsidRPr="008704E2">
              <w:rPr>
                <w:rFonts w:cs="Arial"/>
                <w:b/>
                <w:sz w:val="16"/>
                <w:szCs w:val="16"/>
              </w:rPr>
              <w:t>Violation</w:t>
            </w:r>
          </w:p>
          <w:p w14:paraId="2DE9C038"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b/>
                <w:sz w:val="16"/>
                <w:szCs w:val="16"/>
              </w:rPr>
              <w:t>Y or N</w:t>
            </w:r>
          </w:p>
        </w:tc>
        <w:tc>
          <w:tcPr>
            <w:tcW w:w="1710" w:type="dxa"/>
            <w:tcBorders>
              <w:bottom w:val="single" w:sz="4" w:space="0" w:color="auto"/>
            </w:tcBorders>
            <w:shd w:val="clear" w:color="auto" w:fill="BDD6EE" w:themeFill="accent1" w:themeFillTint="66"/>
            <w:vAlign w:val="center"/>
          </w:tcPr>
          <w:p w14:paraId="7B7FFF3A" w14:textId="77777777" w:rsidR="00BE60CD" w:rsidRDefault="00BE60CD" w:rsidP="00BE60CD">
            <w:pPr>
              <w:pStyle w:val="Default"/>
              <w:jc w:val="center"/>
              <w:rPr>
                <w:sz w:val="16"/>
                <w:szCs w:val="16"/>
              </w:rPr>
            </w:pPr>
            <w:r>
              <w:rPr>
                <w:b/>
                <w:bCs/>
                <w:sz w:val="16"/>
                <w:szCs w:val="16"/>
              </w:rPr>
              <w:t xml:space="preserve">Highest Level Detected </w:t>
            </w:r>
          </w:p>
          <w:p w14:paraId="786F60EF" w14:textId="77777777" w:rsidR="00BE60CD" w:rsidRPr="008704E2" w:rsidRDefault="00BE60CD" w:rsidP="00BE60CD">
            <w:pPr>
              <w:pStyle w:val="BodyTextIndent"/>
              <w:spacing w:after="0" w:line="240" w:lineRule="auto"/>
              <w:ind w:left="0"/>
              <w:jc w:val="center"/>
              <w:rPr>
                <w:rFonts w:cs="Arial"/>
                <w:sz w:val="16"/>
                <w:szCs w:val="16"/>
              </w:rPr>
            </w:pPr>
          </w:p>
        </w:tc>
        <w:tc>
          <w:tcPr>
            <w:tcW w:w="1710" w:type="dxa"/>
            <w:tcBorders>
              <w:bottom w:val="single" w:sz="4" w:space="0" w:color="auto"/>
            </w:tcBorders>
            <w:shd w:val="clear" w:color="auto" w:fill="BDD6EE" w:themeFill="accent1" w:themeFillTint="66"/>
            <w:vAlign w:val="center"/>
          </w:tcPr>
          <w:p w14:paraId="63E69D3E"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b/>
                <w:sz w:val="16"/>
                <w:szCs w:val="16"/>
              </w:rPr>
              <w:t>Range of All Samples (L-H)</w:t>
            </w:r>
          </w:p>
        </w:tc>
        <w:tc>
          <w:tcPr>
            <w:tcW w:w="990" w:type="dxa"/>
            <w:tcBorders>
              <w:bottom w:val="single" w:sz="4" w:space="0" w:color="auto"/>
            </w:tcBorders>
            <w:shd w:val="clear" w:color="auto" w:fill="BDD6EE" w:themeFill="accent1" w:themeFillTint="66"/>
            <w:vAlign w:val="center"/>
          </w:tcPr>
          <w:p w14:paraId="212B4D6F"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b/>
                <w:sz w:val="16"/>
                <w:szCs w:val="16"/>
              </w:rPr>
              <w:t>MCL</w:t>
            </w:r>
          </w:p>
        </w:tc>
        <w:tc>
          <w:tcPr>
            <w:tcW w:w="900" w:type="dxa"/>
            <w:tcBorders>
              <w:bottom w:val="single" w:sz="4" w:space="0" w:color="auto"/>
            </w:tcBorders>
            <w:shd w:val="clear" w:color="auto" w:fill="BDD6EE" w:themeFill="accent1" w:themeFillTint="66"/>
            <w:vAlign w:val="center"/>
          </w:tcPr>
          <w:p w14:paraId="1546631C"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b/>
                <w:sz w:val="16"/>
                <w:szCs w:val="16"/>
              </w:rPr>
              <w:t>MCLG</w:t>
            </w:r>
          </w:p>
        </w:tc>
        <w:tc>
          <w:tcPr>
            <w:tcW w:w="1350" w:type="dxa"/>
            <w:tcBorders>
              <w:bottom w:val="single" w:sz="4" w:space="0" w:color="auto"/>
            </w:tcBorders>
            <w:shd w:val="clear" w:color="auto" w:fill="BDD6EE" w:themeFill="accent1" w:themeFillTint="66"/>
            <w:vAlign w:val="center"/>
          </w:tcPr>
          <w:p w14:paraId="4854DD19"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b/>
                <w:sz w:val="16"/>
                <w:szCs w:val="16"/>
              </w:rPr>
              <w:t>Sample Month</w:t>
            </w:r>
            <w:r>
              <w:rPr>
                <w:rFonts w:cs="Arial"/>
                <w:b/>
                <w:sz w:val="16"/>
                <w:szCs w:val="16"/>
              </w:rPr>
              <w:t>/</w:t>
            </w:r>
            <w:r w:rsidRPr="008704E2">
              <w:rPr>
                <w:rFonts w:cs="Arial"/>
                <w:b/>
                <w:sz w:val="16"/>
                <w:szCs w:val="16"/>
              </w:rPr>
              <w:t>Year</w:t>
            </w:r>
          </w:p>
        </w:tc>
        <w:tc>
          <w:tcPr>
            <w:tcW w:w="1530" w:type="dxa"/>
            <w:tcBorders>
              <w:bottom w:val="single" w:sz="4" w:space="0" w:color="auto"/>
            </w:tcBorders>
            <w:shd w:val="clear" w:color="auto" w:fill="BDD6EE" w:themeFill="accent1" w:themeFillTint="66"/>
            <w:vAlign w:val="center"/>
          </w:tcPr>
          <w:p w14:paraId="7AB2DD33"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b/>
                <w:sz w:val="16"/>
                <w:szCs w:val="16"/>
              </w:rPr>
              <w:t>Likely Source of Contamination</w:t>
            </w:r>
          </w:p>
        </w:tc>
      </w:tr>
      <w:tr w:rsidR="00BE60CD" w:rsidRPr="008704E2" w14:paraId="0FB539F4" w14:textId="77777777" w:rsidTr="00691E7F">
        <w:trPr>
          <w:trHeight w:val="617"/>
        </w:trPr>
        <w:tc>
          <w:tcPr>
            <w:tcW w:w="1885" w:type="dxa"/>
            <w:tcBorders>
              <w:bottom w:val="single" w:sz="4" w:space="0" w:color="auto"/>
            </w:tcBorders>
            <w:shd w:val="clear" w:color="auto" w:fill="auto"/>
            <w:vAlign w:val="center"/>
          </w:tcPr>
          <w:p w14:paraId="44D31C22" w14:textId="7262AF61" w:rsidR="00BE60CD" w:rsidRPr="008704E2" w:rsidRDefault="00BE60CD" w:rsidP="00BE60CD">
            <w:pPr>
              <w:pStyle w:val="BodyTextIndent"/>
              <w:spacing w:after="0" w:line="240" w:lineRule="auto"/>
              <w:ind w:left="0"/>
              <w:rPr>
                <w:rFonts w:cs="Arial"/>
                <w:b/>
                <w:sz w:val="18"/>
                <w:szCs w:val="18"/>
              </w:rPr>
            </w:pPr>
            <w:proofErr w:type="spellStart"/>
            <w:r w:rsidRPr="008704E2">
              <w:rPr>
                <w:rFonts w:cs="Arial"/>
                <w:b/>
                <w:sz w:val="18"/>
                <w:szCs w:val="18"/>
              </w:rPr>
              <w:t>Haloac</w:t>
            </w:r>
            <w:r>
              <w:rPr>
                <w:rFonts w:cs="Arial"/>
                <w:b/>
                <w:sz w:val="18"/>
                <w:szCs w:val="18"/>
              </w:rPr>
              <w:t>etic</w:t>
            </w:r>
            <w:proofErr w:type="spellEnd"/>
            <w:r>
              <w:rPr>
                <w:rFonts w:cs="Arial"/>
                <w:b/>
                <w:sz w:val="18"/>
                <w:szCs w:val="18"/>
              </w:rPr>
              <w:t xml:space="preserve"> </w:t>
            </w:r>
            <w:r w:rsidRPr="008704E2">
              <w:rPr>
                <w:rFonts w:cs="Arial"/>
                <w:b/>
                <w:sz w:val="18"/>
                <w:szCs w:val="18"/>
              </w:rPr>
              <w:t>Acids</w:t>
            </w:r>
            <w:ins w:id="22" w:author="Author">
              <w:r w:rsidR="004A3435">
                <w:rPr>
                  <w:rFonts w:cs="Arial"/>
                  <w:b/>
                  <w:sz w:val="18"/>
                  <w:szCs w:val="18"/>
                </w:rPr>
                <w:t xml:space="preserve"> </w:t>
              </w:r>
            </w:ins>
            <w:r w:rsidRPr="008704E2">
              <w:rPr>
                <w:rFonts w:cs="Arial"/>
                <w:b/>
                <w:sz w:val="18"/>
                <w:szCs w:val="18"/>
              </w:rPr>
              <w:t>(HAA5)</w:t>
            </w:r>
            <w:r w:rsidR="00CD34AD">
              <w:rPr>
                <w:rFonts w:cs="Arial"/>
                <w:b/>
                <w:sz w:val="18"/>
                <w:szCs w:val="18"/>
              </w:rPr>
              <w:t xml:space="preserve"> (ppb)</w:t>
            </w:r>
            <w:r w:rsidR="004A3435">
              <w:rPr>
                <w:rFonts w:cs="Arial"/>
                <w:b/>
                <w:sz w:val="18"/>
                <w:szCs w:val="18"/>
              </w:rPr>
              <w:t xml:space="preserve"> </w:t>
            </w:r>
          </w:p>
        </w:tc>
        <w:tc>
          <w:tcPr>
            <w:tcW w:w="990" w:type="dxa"/>
            <w:tcBorders>
              <w:bottom w:val="single" w:sz="4" w:space="0" w:color="auto"/>
            </w:tcBorders>
            <w:shd w:val="clear" w:color="auto" w:fill="auto"/>
            <w:vAlign w:val="center"/>
          </w:tcPr>
          <w:p w14:paraId="71EB284E" w14:textId="77777777" w:rsidR="00BE60CD" w:rsidRPr="008704E2" w:rsidRDefault="00BE60CD" w:rsidP="00BE60CD">
            <w:pPr>
              <w:pStyle w:val="BodyTextIndent"/>
              <w:spacing w:after="0" w:line="240" w:lineRule="auto"/>
              <w:ind w:left="0"/>
              <w:jc w:val="center"/>
              <w:rPr>
                <w:rFonts w:cs="Arial"/>
                <w:sz w:val="20"/>
              </w:rPr>
            </w:pPr>
            <w:r>
              <w:rPr>
                <w:rFonts w:cs="Arial"/>
                <w:sz w:val="20"/>
              </w:rPr>
              <w:t>N</w:t>
            </w:r>
          </w:p>
        </w:tc>
        <w:tc>
          <w:tcPr>
            <w:tcW w:w="1710" w:type="dxa"/>
            <w:tcBorders>
              <w:bottom w:val="single" w:sz="4" w:space="0" w:color="auto"/>
            </w:tcBorders>
            <w:shd w:val="clear" w:color="auto" w:fill="auto"/>
            <w:vAlign w:val="center"/>
          </w:tcPr>
          <w:p w14:paraId="65761E03" w14:textId="02427E45" w:rsidR="00BE60CD" w:rsidRPr="008704E2" w:rsidRDefault="009270C6" w:rsidP="00BE60CD">
            <w:pPr>
              <w:pStyle w:val="BodyTextIndent"/>
              <w:spacing w:after="0" w:line="240" w:lineRule="auto"/>
              <w:ind w:left="0"/>
              <w:jc w:val="center"/>
              <w:rPr>
                <w:rFonts w:cs="Arial"/>
                <w:sz w:val="20"/>
              </w:rPr>
            </w:pPr>
            <w:r>
              <w:rPr>
                <w:rFonts w:cs="Arial"/>
                <w:sz w:val="20"/>
              </w:rPr>
              <w:t>23</w:t>
            </w:r>
          </w:p>
        </w:tc>
        <w:tc>
          <w:tcPr>
            <w:tcW w:w="1710" w:type="dxa"/>
            <w:tcBorders>
              <w:bottom w:val="single" w:sz="4" w:space="0" w:color="auto"/>
            </w:tcBorders>
            <w:shd w:val="clear" w:color="auto" w:fill="auto"/>
            <w:vAlign w:val="center"/>
          </w:tcPr>
          <w:p w14:paraId="7F6A45A8" w14:textId="012EDA70" w:rsidR="00BE60CD" w:rsidRPr="008704E2" w:rsidRDefault="009F63D4" w:rsidP="00BE60CD">
            <w:pPr>
              <w:pStyle w:val="BodyTextIndent"/>
              <w:spacing w:after="0" w:line="240" w:lineRule="auto"/>
              <w:ind w:left="0"/>
              <w:jc w:val="center"/>
              <w:rPr>
                <w:rFonts w:cs="Arial"/>
                <w:sz w:val="20"/>
              </w:rPr>
            </w:pPr>
            <w:r>
              <w:rPr>
                <w:rFonts w:cs="Arial"/>
                <w:sz w:val="20"/>
              </w:rPr>
              <w:t>13-</w:t>
            </w:r>
            <w:r w:rsidR="00CA090A">
              <w:rPr>
                <w:rFonts w:cs="Arial"/>
                <w:sz w:val="20"/>
              </w:rPr>
              <w:t>23</w:t>
            </w:r>
          </w:p>
        </w:tc>
        <w:tc>
          <w:tcPr>
            <w:tcW w:w="990" w:type="dxa"/>
            <w:tcBorders>
              <w:bottom w:val="single" w:sz="4" w:space="0" w:color="auto"/>
            </w:tcBorders>
            <w:shd w:val="clear" w:color="auto" w:fill="auto"/>
            <w:vAlign w:val="center"/>
          </w:tcPr>
          <w:p w14:paraId="2AFF45CE" w14:textId="77777777" w:rsidR="00BE60CD" w:rsidRPr="008704E2" w:rsidRDefault="00BE60CD" w:rsidP="00BE60CD">
            <w:pPr>
              <w:pStyle w:val="BodyTextIndent"/>
              <w:spacing w:after="0" w:line="240" w:lineRule="auto"/>
              <w:ind w:left="0"/>
              <w:jc w:val="center"/>
              <w:rPr>
                <w:rFonts w:cs="Arial"/>
                <w:sz w:val="20"/>
              </w:rPr>
            </w:pPr>
            <w:r w:rsidRPr="008704E2">
              <w:rPr>
                <w:rFonts w:cs="Arial"/>
                <w:sz w:val="20"/>
              </w:rPr>
              <w:t>60</w:t>
            </w:r>
          </w:p>
        </w:tc>
        <w:tc>
          <w:tcPr>
            <w:tcW w:w="900" w:type="dxa"/>
            <w:tcBorders>
              <w:bottom w:val="single" w:sz="4" w:space="0" w:color="auto"/>
            </w:tcBorders>
            <w:shd w:val="clear" w:color="auto" w:fill="auto"/>
            <w:vAlign w:val="center"/>
          </w:tcPr>
          <w:p w14:paraId="1E25A869" w14:textId="77777777" w:rsidR="00BE60CD" w:rsidRPr="008704E2" w:rsidRDefault="00BE60CD" w:rsidP="00BE60CD">
            <w:pPr>
              <w:pStyle w:val="BodyTextIndent"/>
              <w:spacing w:after="0" w:line="240" w:lineRule="auto"/>
              <w:ind w:left="0"/>
              <w:jc w:val="center"/>
              <w:rPr>
                <w:rFonts w:cs="Arial"/>
                <w:sz w:val="20"/>
              </w:rPr>
            </w:pPr>
            <w:r w:rsidRPr="00A1414A">
              <w:rPr>
                <w:rFonts w:cs="Arial"/>
                <w:sz w:val="20"/>
              </w:rPr>
              <w:t>NA</w:t>
            </w:r>
          </w:p>
        </w:tc>
        <w:tc>
          <w:tcPr>
            <w:tcW w:w="1350" w:type="dxa"/>
            <w:tcBorders>
              <w:bottom w:val="single" w:sz="4" w:space="0" w:color="auto"/>
            </w:tcBorders>
            <w:shd w:val="clear" w:color="auto" w:fill="auto"/>
            <w:vAlign w:val="center"/>
          </w:tcPr>
          <w:p w14:paraId="25BA7CF1" w14:textId="0DDB0F82" w:rsidR="00BE60CD" w:rsidRPr="008704E2" w:rsidRDefault="00BE60CD" w:rsidP="00BE60CD">
            <w:pPr>
              <w:pStyle w:val="BodyTextIndent"/>
              <w:spacing w:after="0" w:line="240" w:lineRule="auto"/>
              <w:ind w:left="0"/>
              <w:jc w:val="center"/>
              <w:rPr>
                <w:rFonts w:cs="Arial"/>
                <w:sz w:val="16"/>
                <w:szCs w:val="16"/>
              </w:rPr>
            </w:pPr>
            <w:r>
              <w:rPr>
                <w:rFonts w:cs="Arial"/>
                <w:sz w:val="16"/>
                <w:szCs w:val="16"/>
              </w:rPr>
              <w:t>20</w:t>
            </w:r>
            <w:r w:rsidR="00CB1F08">
              <w:rPr>
                <w:rFonts w:cs="Arial"/>
                <w:sz w:val="16"/>
                <w:szCs w:val="16"/>
              </w:rPr>
              <w:t>2</w:t>
            </w:r>
            <w:r w:rsidR="00E64C65">
              <w:rPr>
                <w:rFonts w:cs="Arial"/>
                <w:sz w:val="16"/>
                <w:szCs w:val="16"/>
              </w:rPr>
              <w:t>1</w:t>
            </w:r>
          </w:p>
        </w:tc>
        <w:tc>
          <w:tcPr>
            <w:tcW w:w="1530" w:type="dxa"/>
            <w:tcBorders>
              <w:bottom w:val="single" w:sz="4" w:space="0" w:color="auto"/>
            </w:tcBorders>
            <w:shd w:val="clear" w:color="auto" w:fill="auto"/>
            <w:vAlign w:val="center"/>
          </w:tcPr>
          <w:p w14:paraId="7E57F73F" w14:textId="77777777" w:rsidR="00BE60CD" w:rsidRPr="008704E2" w:rsidRDefault="00BE60CD" w:rsidP="00BE60CD">
            <w:pPr>
              <w:pStyle w:val="BodyTextIndent"/>
              <w:spacing w:after="0" w:line="240" w:lineRule="auto"/>
              <w:ind w:left="0"/>
              <w:rPr>
                <w:rFonts w:cs="Arial"/>
                <w:sz w:val="14"/>
                <w:szCs w:val="14"/>
              </w:rPr>
            </w:pPr>
            <w:r w:rsidRPr="008704E2">
              <w:rPr>
                <w:rFonts w:cs="Arial"/>
                <w:sz w:val="14"/>
                <w:szCs w:val="14"/>
              </w:rPr>
              <w:t>Byproduct of drinking water disinfection</w:t>
            </w:r>
          </w:p>
        </w:tc>
      </w:tr>
      <w:tr w:rsidR="00BE60CD" w:rsidRPr="008704E2" w14:paraId="39DD6249" w14:textId="77777777" w:rsidTr="00691E7F">
        <w:tc>
          <w:tcPr>
            <w:tcW w:w="1885" w:type="dxa"/>
            <w:tcBorders>
              <w:bottom w:val="single" w:sz="4" w:space="0" w:color="auto"/>
            </w:tcBorders>
            <w:shd w:val="clear" w:color="auto" w:fill="auto"/>
            <w:vAlign w:val="center"/>
          </w:tcPr>
          <w:p w14:paraId="367D081A" w14:textId="5E5AC5BD" w:rsidR="00BE60CD" w:rsidRPr="008704E2" w:rsidRDefault="00BE60CD" w:rsidP="00BE60CD">
            <w:pPr>
              <w:pStyle w:val="BodyTextIndent"/>
              <w:spacing w:after="0" w:line="240" w:lineRule="auto"/>
              <w:ind w:left="0"/>
              <w:rPr>
                <w:rFonts w:cs="Arial"/>
                <w:b/>
                <w:sz w:val="18"/>
                <w:szCs w:val="18"/>
              </w:rPr>
            </w:pPr>
            <w:r w:rsidRPr="008704E2">
              <w:rPr>
                <w:rFonts w:cs="Arial"/>
                <w:b/>
                <w:sz w:val="18"/>
                <w:szCs w:val="18"/>
              </w:rPr>
              <w:t>Total Trihalomethanes (TTHM)</w:t>
            </w:r>
            <w:r w:rsidR="004A3435">
              <w:rPr>
                <w:rFonts w:cs="Arial"/>
                <w:b/>
                <w:sz w:val="18"/>
                <w:szCs w:val="18"/>
              </w:rPr>
              <w:t xml:space="preserve"> </w:t>
            </w:r>
            <w:r w:rsidR="004A3435" w:rsidRPr="008704E2">
              <w:rPr>
                <w:rFonts w:cs="Arial"/>
                <w:b/>
                <w:sz w:val="18"/>
                <w:szCs w:val="18"/>
              </w:rPr>
              <w:t>(ppb)</w:t>
            </w:r>
          </w:p>
        </w:tc>
        <w:tc>
          <w:tcPr>
            <w:tcW w:w="990" w:type="dxa"/>
            <w:tcBorders>
              <w:bottom w:val="single" w:sz="4" w:space="0" w:color="auto"/>
            </w:tcBorders>
            <w:shd w:val="clear" w:color="auto" w:fill="auto"/>
            <w:vAlign w:val="center"/>
          </w:tcPr>
          <w:p w14:paraId="75ACABB4" w14:textId="77777777" w:rsidR="00BE60CD" w:rsidRPr="008704E2" w:rsidRDefault="00BE60CD" w:rsidP="00BE60CD">
            <w:pPr>
              <w:pStyle w:val="BodyTextIndent"/>
              <w:spacing w:after="0" w:line="240" w:lineRule="auto"/>
              <w:ind w:left="0"/>
              <w:jc w:val="center"/>
              <w:rPr>
                <w:rFonts w:cs="Arial"/>
                <w:sz w:val="20"/>
              </w:rPr>
            </w:pPr>
            <w:r>
              <w:rPr>
                <w:rFonts w:cs="Arial"/>
                <w:sz w:val="20"/>
              </w:rPr>
              <w:t>N</w:t>
            </w:r>
          </w:p>
        </w:tc>
        <w:tc>
          <w:tcPr>
            <w:tcW w:w="1710" w:type="dxa"/>
            <w:tcBorders>
              <w:bottom w:val="single" w:sz="4" w:space="0" w:color="auto"/>
            </w:tcBorders>
            <w:shd w:val="clear" w:color="auto" w:fill="auto"/>
            <w:vAlign w:val="center"/>
          </w:tcPr>
          <w:p w14:paraId="7C44058F" w14:textId="31D2BF36" w:rsidR="00BE60CD" w:rsidRPr="008704E2" w:rsidRDefault="00E64C65" w:rsidP="00BE60CD">
            <w:pPr>
              <w:pStyle w:val="BodyTextIndent"/>
              <w:spacing w:after="0" w:line="240" w:lineRule="auto"/>
              <w:ind w:left="0"/>
              <w:jc w:val="center"/>
              <w:rPr>
                <w:rFonts w:cs="Arial"/>
                <w:sz w:val="20"/>
              </w:rPr>
            </w:pPr>
            <w:r>
              <w:rPr>
                <w:rFonts w:cs="Arial"/>
                <w:sz w:val="20"/>
              </w:rPr>
              <w:t>59</w:t>
            </w:r>
          </w:p>
        </w:tc>
        <w:tc>
          <w:tcPr>
            <w:tcW w:w="1710" w:type="dxa"/>
            <w:tcBorders>
              <w:bottom w:val="single" w:sz="4" w:space="0" w:color="auto"/>
            </w:tcBorders>
            <w:shd w:val="clear" w:color="auto" w:fill="auto"/>
            <w:vAlign w:val="center"/>
          </w:tcPr>
          <w:p w14:paraId="589631D0" w14:textId="29016E4B" w:rsidR="00BE60CD" w:rsidRPr="008704E2" w:rsidRDefault="00EE4333" w:rsidP="00BE60CD">
            <w:pPr>
              <w:pStyle w:val="BodyTextIndent"/>
              <w:spacing w:after="0" w:line="240" w:lineRule="auto"/>
              <w:ind w:left="0"/>
              <w:jc w:val="center"/>
              <w:rPr>
                <w:rFonts w:cs="Arial"/>
                <w:sz w:val="20"/>
              </w:rPr>
            </w:pPr>
            <w:r>
              <w:rPr>
                <w:rFonts w:cs="Arial"/>
                <w:sz w:val="20"/>
              </w:rPr>
              <w:br/>
            </w:r>
            <w:r w:rsidR="00F2419D">
              <w:rPr>
                <w:rFonts w:cs="Arial"/>
                <w:sz w:val="20"/>
              </w:rPr>
              <w:t>35-</w:t>
            </w:r>
            <w:r w:rsidR="008C05E3">
              <w:rPr>
                <w:rFonts w:cs="Arial"/>
                <w:sz w:val="20"/>
              </w:rPr>
              <w:t>59</w:t>
            </w:r>
          </w:p>
        </w:tc>
        <w:tc>
          <w:tcPr>
            <w:tcW w:w="990" w:type="dxa"/>
            <w:tcBorders>
              <w:bottom w:val="single" w:sz="4" w:space="0" w:color="auto"/>
            </w:tcBorders>
            <w:shd w:val="clear" w:color="auto" w:fill="auto"/>
            <w:vAlign w:val="center"/>
          </w:tcPr>
          <w:p w14:paraId="1501E3F0" w14:textId="77777777" w:rsidR="00BE60CD" w:rsidRPr="008704E2" w:rsidRDefault="00BE60CD" w:rsidP="00BE60CD">
            <w:pPr>
              <w:pStyle w:val="BodyTextIndent"/>
              <w:spacing w:after="0" w:line="240" w:lineRule="auto"/>
              <w:ind w:left="0"/>
              <w:jc w:val="center"/>
              <w:rPr>
                <w:rFonts w:cs="Arial"/>
                <w:sz w:val="20"/>
              </w:rPr>
            </w:pPr>
            <w:r w:rsidRPr="008704E2">
              <w:rPr>
                <w:rFonts w:cs="Arial"/>
                <w:sz w:val="20"/>
              </w:rPr>
              <w:t>80</w:t>
            </w:r>
          </w:p>
        </w:tc>
        <w:tc>
          <w:tcPr>
            <w:tcW w:w="900" w:type="dxa"/>
            <w:tcBorders>
              <w:bottom w:val="single" w:sz="4" w:space="0" w:color="auto"/>
            </w:tcBorders>
            <w:shd w:val="clear" w:color="auto" w:fill="auto"/>
            <w:vAlign w:val="center"/>
          </w:tcPr>
          <w:p w14:paraId="04922CD5" w14:textId="77777777" w:rsidR="00BE60CD" w:rsidRPr="008704E2" w:rsidRDefault="00BE60CD" w:rsidP="00BE60CD">
            <w:pPr>
              <w:pStyle w:val="BodyTextIndent"/>
              <w:spacing w:after="0" w:line="240" w:lineRule="auto"/>
              <w:ind w:left="0"/>
              <w:jc w:val="center"/>
              <w:rPr>
                <w:rFonts w:cs="Arial"/>
                <w:sz w:val="20"/>
              </w:rPr>
            </w:pPr>
            <w:r w:rsidRPr="00A1414A">
              <w:rPr>
                <w:rFonts w:cs="Arial"/>
                <w:sz w:val="20"/>
              </w:rPr>
              <w:t>NA</w:t>
            </w:r>
          </w:p>
        </w:tc>
        <w:tc>
          <w:tcPr>
            <w:tcW w:w="1350" w:type="dxa"/>
            <w:tcBorders>
              <w:bottom w:val="single" w:sz="4" w:space="0" w:color="auto"/>
            </w:tcBorders>
            <w:shd w:val="clear" w:color="auto" w:fill="auto"/>
            <w:vAlign w:val="center"/>
          </w:tcPr>
          <w:p w14:paraId="76CE9528" w14:textId="0B91378A" w:rsidR="00BE60CD" w:rsidRPr="008704E2" w:rsidRDefault="00BE60CD" w:rsidP="00BE60CD">
            <w:pPr>
              <w:pStyle w:val="BodyTextIndent"/>
              <w:spacing w:after="0" w:line="240" w:lineRule="auto"/>
              <w:ind w:left="0"/>
              <w:jc w:val="center"/>
              <w:rPr>
                <w:rFonts w:cs="Arial"/>
                <w:sz w:val="16"/>
                <w:szCs w:val="16"/>
              </w:rPr>
            </w:pPr>
            <w:r>
              <w:rPr>
                <w:rFonts w:cs="Arial"/>
                <w:sz w:val="16"/>
                <w:szCs w:val="16"/>
              </w:rPr>
              <w:t>20</w:t>
            </w:r>
            <w:r w:rsidR="00CB1F08">
              <w:rPr>
                <w:rFonts w:cs="Arial"/>
                <w:sz w:val="16"/>
                <w:szCs w:val="16"/>
              </w:rPr>
              <w:t>2</w:t>
            </w:r>
            <w:r w:rsidR="00E64C65">
              <w:rPr>
                <w:rFonts w:cs="Arial"/>
                <w:sz w:val="16"/>
                <w:szCs w:val="16"/>
              </w:rPr>
              <w:t>1</w:t>
            </w:r>
          </w:p>
        </w:tc>
        <w:tc>
          <w:tcPr>
            <w:tcW w:w="1530" w:type="dxa"/>
            <w:tcBorders>
              <w:bottom w:val="single" w:sz="4" w:space="0" w:color="auto"/>
            </w:tcBorders>
            <w:shd w:val="clear" w:color="auto" w:fill="auto"/>
            <w:vAlign w:val="center"/>
          </w:tcPr>
          <w:p w14:paraId="6E3D1F0F" w14:textId="77777777" w:rsidR="00BE60CD" w:rsidRPr="008704E2" w:rsidRDefault="00BE60CD" w:rsidP="00BE60CD">
            <w:pPr>
              <w:pStyle w:val="BodyTextIndent"/>
              <w:spacing w:after="0" w:line="240" w:lineRule="auto"/>
              <w:ind w:left="0"/>
              <w:rPr>
                <w:rFonts w:cs="Arial"/>
                <w:sz w:val="14"/>
                <w:szCs w:val="14"/>
              </w:rPr>
            </w:pPr>
            <w:r w:rsidRPr="008704E2">
              <w:rPr>
                <w:rFonts w:cs="Arial"/>
                <w:sz w:val="14"/>
                <w:szCs w:val="14"/>
              </w:rPr>
              <w:t>Byproduct of drinking water disinfection</w:t>
            </w:r>
          </w:p>
        </w:tc>
      </w:tr>
      <w:tr w:rsidR="00BE60CD" w:rsidRPr="008704E2" w14:paraId="1EB9214A" w14:textId="77777777" w:rsidTr="00691E7F">
        <w:trPr>
          <w:trHeight w:val="402"/>
        </w:trPr>
        <w:tc>
          <w:tcPr>
            <w:tcW w:w="1885" w:type="dxa"/>
            <w:tcBorders>
              <w:bottom w:val="single" w:sz="4" w:space="0" w:color="auto"/>
            </w:tcBorders>
            <w:shd w:val="clear" w:color="auto" w:fill="BDD6EE" w:themeFill="accent1" w:themeFillTint="66"/>
            <w:vAlign w:val="center"/>
          </w:tcPr>
          <w:p w14:paraId="7D104A48" w14:textId="77777777" w:rsidR="00BE60CD" w:rsidRPr="008704E2" w:rsidRDefault="00BE60CD" w:rsidP="00BE60CD">
            <w:pPr>
              <w:pStyle w:val="BodyTextIndent"/>
              <w:spacing w:after="0" w:line="240" w:lineRule="auto"/>
              <w:ind w:left="0"/>
              <w:rPr>
                <w:rFonts w:cs="Arial"/>
                <w:sz w:val="16"/>
                <w:szCs w:val="16"/>
              </w:rPr>
            </w:pPr>
            <w:r w:rsidRPr="008704E2">
              <w:rPr>
                <w:rFonts w:cs="Arial"/>
                <w:b/>
                <w:sz w:val="16"/>
                <w:szCs w:val="16"/>
              </w:rPr>
              <w:t>Lead &amp; Copper</w:t>
            </w:r>
          </w:p>
        </w:tc>
        <w:tc>
          <w:tcPr>
            <w:tcW w:w="990" w:type="dxa"/>
            <w:tcBorders>
              <w:bottom w:val="single" w:sz="4" w:space="0" w:color="auto"/>
            </w:tcBorders>
            <w:shd w:val="clear" w:color="auto" w:fill="BDD6EE" w:themeFill="accent1" w:themeFillTint="66"/>
            <w:vAlign w:val="center"/>
          </w:tcPr>
          <w:p w14:paraId="74FE9C19" w14:textId="77777777" w:rsidR="00BE60CD" w:rsidRPr="008704E2" w:rsidRDefault="00BE60CD" w:rsidP="00BE60CD">
            <w:pPr>
              <w:keepNext/>
              <w:spacing w:line="240" w:lineRule="auto"/>
              <w:jc w:val="center"/>
              <w:rPr>
                <w:rFonts w:cs="Arial"/>
                <w:b/>
                <w:sz w:val="16"/>
                <w:szCs w:val="16"/>
              </w:rPr>
            </w:pPr>
            <w:r w:rsidRPr="008704E2">
              <w:rPr>
                <w:rFonts w:cs="Arial"/>
                <w:b/>
                <w:sz w:val="16"/>
                <w:szCs w:val="16"/>
              </w:rPr>
              <w:t>Violation</w:t>
            </w:r>
          </w:p>
          <w:p w14:paraId="66B7534E"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b/>
                <w:sz w:val="16"/>
                <w:szCs w:val="16"/>
              </w:rPr>
              <w:t>Y or N</w:t>
            </w:r>
          </w:p>
        </w:tc>
        <w:tc>
          <w:tcPr>
            <w:tcW w:w="1710" w:type="dxa"/>
            <w:tcBorders>
              <w:bottom w:val="single" w:sz="4" w:space="0" w:color="auto"/>
            </w:tcBorders>
            <w:shd w:val="clear" w:color="auto" w:fill="BDD6EE" w:themeFill="accent1" w:themeFillTint="66"/>
            <w:vAlign w:val="center"/>
          </w:tcPr>
          <w:p w14:paraId="2203CAA7" w14:textId="77777777" w:rsidR="00BE60CD" w:rsidRDefault="00BE60CD" w:rsidP="00BE60CD">
            <w:pPr>
              <w:pStyle w:val="Default"/>
              <w:jc w:val="center"/>
              <w:rPr>
                <w:sz w:val="16"/>
                <w:szCs w:val="16"/>
              </w:rPr>
            </w:pPr>
            <w:r>
              <w:rPr>
                <w:b/>
                <w:bCs/>
                <w:sz w:val="16"/>
                <w:szCs w:val="16"/>
              </w:rPr>
              <w:t xml:space="preserve">90Percentile </w:t>
            </w:r>
          </w:p>
          <w:p w14:paraId="0682310D" w14:textId="77777777" w:rsidR="00BE60CD" w:rsidRPr="008704E2" w:rsidRDefault="00BE60CD" w:rsidP="00BE60CD">
            <w:pPr>
              <w:pStyle w:val="BodyTextIndent"/>
              <w:spacing w:after="0" w:line="240" w:lineRule="auto"/>
              <w:ind w:left="0"/>
              <w:jc w:val="center"/>
              <w:rPr>
                <w:rFonts w:cs="Arial"/>
                <w:b/>
                <w:sz w:val="16"/>
                <w:szCs w:val="16"/>
              </w:rPr>
            </w:pPr>
          </w:p>
        </w:tc>
        <w:tc>
          <w:tcPr>
            <w:tcW w:w="1710" w:type="dxa"/>
            <w:tcBorders>
              <w:bottom w:val="single" w:sz="4" w:space="0" w:color="auto"/>
            </w:tcBorders>
            <w:shd w:val="clear" w:color="auto" w:fill="BDD6EE" w:themeFill="accent1" w:themeFillTint="66"/>
            <w:vAlign w:val="center"/>
          </w:tcPr>
          <w:p w14:paraId="4BA08508" w14:textId="77777777" w:rsidR="00BE60CD" w:rsidRDefault="00BE60CD" w:rsidP="00BE60CD">
            <w:pPr>
              <w:pStyle w:val="Default"/>
              <w:jc w:val="center"/>
              <w:rPr>
                <w:sz w:val="16"/>
                <w:szCs w:val="16"/>
              </w:rPr>
            </w:pPr>
            <w:r>
              <w:rPr>
                <w:b/>
                <w:bCs/>
                <w:sz w:val="16"/>
                <w:szCs w:val="16"/>
              </w:rPr>
              <w:t xml:space="preserve">Number of Samples Exceeds AL </w:t>
            </w:r>
          </w:p>
          <w:p w14:paraId="681C5E6B" w14:textId="77777777" w:rsidR="00BE60CD" w:rsidRPr="008704E2" w:rsidRDefault="00BE60CD" w:rsidP="00BE60CD">
            <w:pPr>
              <w:pStyle w:val="BodyTextIndent"/>
              <w:spacing w:after="0" w:line="240" w:lineRule="auto"/>
              <w:ind w:left="0"/>
              <w:jc w:val="center"/>
              <w:rPr>
                <w:rFonts w:cs="Arial"/>
                <w:b/>
                <w:sz w:val="16"/>
                <w:szCs w:val="16"/>
              </w:rPr>
            </w:pPr>
          </w:p>
        </w:tc>
        <w:tc>
          <w:tcPr>
            <w:tcW w:w="990" w:type="dxa"/>
            <w:tcBorders>
              <w:bottom w:val="single" w:sz="4" w:space="0" w:color="auto"/>
            </w:tcBorders>
            <w:shd w:val="clear" w:color="auto" w:fill="BDD6EE" w:themeFill="accent1" w:themeFillTint="66"/>
            <w:vAlign w:val="center"/>
          </w:tcPr>
          <w:p w14:paraId="235F18E6" w14:textId="77777777" w:rsidR="00BE60CD" w:rsidRPr="008704E2" w:rsidRDefault="00BE60CD" w:rsidP="00BE60CD">
            <w:pPr>
              <w:pStyle w:val="BodyTextIndent"/>
              <w:spacing w:after="0" w:line="240" w:lineRule="auto"/>
              <w:ind w:left="0"/>
              <w:jc w:val="center"/>
              <w:rPr>
                <w:rFonts w:cs="Arial"/>
                <w:b/>
                <w:sz w:val="16"/>
                <w:szCs w:val="16"/>
              </w:rPr>
            </w:pPr>
            <w:r w:rsidRPr="008704E2">
              <w:rPr>
                <w:rFonts w:cs="Arial"/>
                <w:b/>
                <w:sz w:val="16"/>
                <w:szCs w:val="16"/>
              </w:rPr>
              <w:t>AL</w:t>
            </w:r>
          </w:p>
        </w:tc>
        <w:tc>
          <w:tcPr>
            <w:tcW w:w="900" w:type="dxa"/>
            <w:tcBorders>
              <w:bottom w:val="single" w:sz="4" w:space="0" w:color="auto"/>
            </w:tcBorders>
            <w:shd w:val="clear" w:color="auto" w:fill="BDD6EE" w:themeFill="accent1" w:themeFillTint="66"/>
            <w:vAlign w:val="center"/>
          </w:tcPr>
          <w:p w14:paraId="124AE3DC" w14:textId="40E2DC14" w:rsidR="00BE60CD" w:rsidRDefault="00F64BB0" w:rsidP="00BE60CD">
            <w:pPr>
              <w:pStyle w:val="Default"/>
              <w:jc w:val="center"/>
              <w:rPr>
                <w:sz w:val="16"/>
                <w:szCs w:val="16"/>
              </w:rPr>
            </w:pPr>
            <w:r>
              <w:rPr>
                <w:b/>
                <w:bCs/>
                <w:sz w:val="16"/>
                <w:szCs w:val="16"/>
              </w:rPr>
              <w:t>MC</w:t>
            </w:r>
            <w:r w:rsidR="00BE60CD">
              <w:rPr>
                <w:b/>
                <w:bCs/>
                <w:sz w:val="16"/>
                <w:szCs w:val="16"/>
              </w:rPr>
              <w:t xml:space="preserve">LG </w:t>
            </w:r>
          </w:p>
          <w:p w14:paraId="5E141A27" w14:textId="77777777" w:rsidR="00BE60CD" w:rsidRPr="008704E2" w:rsidRDefault="00BE60CD" w:rsidP="00BE60CD">
            <w:pPr>
              <w:pStyle w:val="BodyTextIndent"/>
              <w:spacing w:after="0" w:line="240" w:lineRule="auto"/>
              <w:ind w:left="0"/>
              <w:jc w:val="center"/>
              <w:rPr>
                <w:rFonts w:cs="Arial"/>
                <w:b/>
                <w:sz w:val="16"/>
                <w:szCs w:val="16"/>
              </w:rPr>
            </w:pPr>
          </w:p>
        </w:tc>
        <w:tc>
          <w:tcPr>
            <w:tcW w:w="1350" w:type="dxa"/>
            <w:tcBorders>
              <w:bottom w:val="single" w:sz="4" w:space="0" w:color="auto"/>
            </w:tcBorders>
            <w:shd w:val="clear" w:color="auto" w:fill="BDD6EE" w:themeFill="accent1" w:themeFillTint="66"/>
            <w:vAlign w:val="center"/>
          </w:tcPr>
          <w:p w14:paraId="443C42F4" w14:textId="77777777" w:rsidR="00BE60CD" w:rsidRPr="008704E2" w:rsidRDefault="00BE60CD" w:rsidP="00BE60CD">
            <w:pPr>
              <w:pStyle w:val="BodyTextIndent"/>
              <w:spacing w:after="0" w:line="240" w:lineRule="auto"/>
              <w:ind w:left="0"/>
              <w:jc w:val="center"/>
              <w:rPr>
                <w:rFonts w:cs="Arial"/>
                <w:b/>
                <w:sz w:val="16"/>
                <w:szCs w:val="16"/>
              </w:rPr>
            </w:pPr>
            <w:r w:rsidRPr="008704E2">
              <w:rPr>
                <w:rFonts w:cs="Arial"/>
                <w:b/>
                <w:sz w:val="16"/>
                <w:szCs w:val="16"/>
              </w:rPr>
              <w:t>Sample Month</w:t>
            </w:r>
            <w:r>
              <w:rPr>
                <w:rFonts w:cs="Arial"/>
                <w:b/>
                <w:sz w:val="16"/>
                <w:szCs w:val="16"/>
              </w:rPr>
              <w:t>/</w:t>
            </w:r>
            <w:r w:rsidRPr="008704E2">
              <w:rPr>
                <w:rFonts w:cs="Arial"/>
                <w:b/>
                <w:sz w:val="16"/>
                <w:szCs w:val="16"/>
              </w:rPr>
              <w:t>Year</w:t>
            </w:r>
          </w:p>
        </w:tc>
        <w:tc>
          <w:tcPr>
            <w:tcW w:w="1530" w:type="dxa"/>
            <w:tcBorders>
              <w:bottom w:val="single" w:sz="4" w:space="0" w:color="auto"/>
            </w:tcBorders>
            <w:shd w:val="clear" w:color="auto" w:fill="BDD6EE" w:themeFill="accent1" w:themeFillTint="66"/>
            <w:vAlign w:val="center"/>
          </w:tcPr>
          <w:p w14:paraId="56E15CFC" w14:textId="77777777" w:rsidR="00BE60CD" w:rsidRPr="008704E2" w:rsidRDefault="00BE60CD" w:rsidP="00BE60CD">
            <w:pPr>
              <w:pStyle w:val="BodyTextIndent"/>
              <w:spacing w:after="0" w:line="240" w:lineRule="auto"/>
              <w:ind w:left="0"/>
              <w:jc w:val="center"/>
              <w:rPr>
                <w:rFonts w:cs="Arial"/>
                <w:b/>
                <w:sz w:val="16"/>
                <w:szCs w:val="16"/>
              </w:rPr>
            </w:pPr>
            <w:r w:rsidRPr="008704E2">
              <w:rPr>
                <w:rFonts w:cs="Arial"/>
                <w:b/>
                <w:sz w:val="16"/>
                <w:szCs w:val="16"/>
              </w:rPr>
              <w:t>Likely Source of Contamination</w:t>
            </w:r>
          </w:p>
        </w:tc>
      </w:tr>
      <w:tr w:rsidR="00BE60CD" w:rsidRPr="008704E2" w14:paraId="4FAEB1EB" w14:textId="77777777" w:rsidTr="00691E7F">
        <w:trPr>
          <w:trHeight w:val="665"/>
        </w:trPr>
        <w:tc>
          <w:tcPr>
            <w:tcW w:w="1885" w:type="dxa"/>
            <w:tcBorders>
              <w:bottom w:val="single" w:sz="4" w:space="0" w:color="auto"/>
            </w:tcBorders>
            <w:shd w:val="clear" w:color="auto" w:fill="auto"/>
            <w:vAlign w:val="center"/>
          </w:tcPr>
          <w:p w14:paraId="3F3EE362" w14:textId="77777777" w:rsidR="00BE60CD" w:rsidRPr="008704E2" w:rsidRDefault="00BE60CD" w:rsidP="00BE60CD">
            <w:pPr>
              <w:pStyle w:val="BodyTextIndent"/>
              <w:spacing w:after="0" w:line="240" w:lineRule="auto"/>
              <w:ind w:left="0"/>
              <w:rPr>
                <w:rFonts w:cs="Arial"/>
                <w:b/>
                <w:sz w:val="18"/>
                <w:szCs w:val="18"/>
              </w:rPr>
            </w:pPr>
            <w:r w:rsidRPr="008704E2">
              <w:rPr>
                <w:rFonts w:cs="Arial"/>
                <w:b/>
                <w:sz w:val="18"/>
                <w:szCs w:val="18"/>
              </w:rPr>
              <w:t>Copper (ppm)</w:t>
            </w:r>
          </w:p>
        </w:tc>
        <w:tc>
          <w:tcPr>
            <w:tcW w:w="990" w:type="dxa"/>
            <w:tcBorders>
              <w:bottom w:val="single" w:sz="4" w:space="0" w:color="auto"/>
            </w:tcBorders>
            <w:shd w:val="clear" w:color="auto" w:fill="auto"/>
            <w:vAlign w:val="center"/>
          </w:tcPr>
          <w:p w14:paraId="6AA5F5B9" w14:textId="77777777" w:rsidR="00BE60CD" w:rsidRPr="008704E2" w:rsidRDefault="00BE60CD" w:rsidP="00BE60CD">
            <w:pPr>
              <w:pStyle w:val="BodyTextIndent"/>
              <w:spacing w:after="0" w:line="240" w:lineRule="auto"/>
              <w:ind w:left="0"/>
              <w:jc w:val="center"/>
              <w:rPr>
                <w:rFonts w:cs="Arial"/>
                <w:sz w:val="20"/>
              </w:rPr>
            </w:pPr>
            <w:r>
              <w:rPr>
                <w:rFonts w:cs="Arial"/>
                <w:sz w:val="20"/>
              </w:rPr>
              <w:t>N</w:t>
            </w:r>
          </w:p>
        </w:tc>
        <w:tc>
          <w:tcPr>
            <w:tcW w:w="1710" w:type="dxa"/>
            <w:tcBorders>
              <w:bottom w:val="single" w:sz="4" w:space="0" w:color="auto"/>
            </w:tcBorders>
            <w:shd w:val="clear" w:color="auto" w:fill="auto"/>
            <w:vAlign w:val="center"/>
          </w:tcPr>
          <w:p w14:paraId="7BD0B337" w14:textId="7CFE4910" w:rsidR="00BE60CD" w:rsidRPr="00BA5804" w:rsidRDefault="000E0AF7" w:rsidP="00BE60CD">
            <w:pPr>
              <w:pStyle w:val="BodyTextIndent"/>
              <w:spacing w:after="0" w:line="240" w:lineRule="auto"/>
              <w:ind w:left="0"/>
              <w:jc w:val="center"/>
              <w:rPr>
                <w:rFonts w:cs="Arial"/>
                <w:sz w:val="20"/>
              </w:rPr>
            </w:pPr>
            <w:r>
              <w:rPr>
                <w:rFonts w:cs="Arial"/>
                <w:sz w:val="20"/>
              </w:rPr>
              <w:t>0.019</w:t>
            </w:r>
          </w:p>
          <w:p w14:paraId="10782C3C" w14:textId="77777777" w:rsidR="00BE60CD" w:rsidRPr="00BA5804" w:rsidRDefault="00BE60CD" w:rsidP="00BE60CD">
            <w:pPr>
              <w:pStyle w:val="BodyTextIndent"/>
              <w:spacing w:after="0" w:line="240" w:lineRule="auto"/>
              <w:ind w:left="0"/>
              <w:jc w:val="center"/>
              <w:rPr>
                <w:rFonts w:cs="Arial"/>
                <w:sz w:val="20"/>
              </w:rPr>
            </w:pPr>
          </w:p>
        </w:tc>
        <w:tc>
          <w:tcPr>
            <w:tcW w:w="1710" w:type="dxa"/>
            <w:tcBorders>
              <w:bottom w:val="single" w:sz="4" w:space="0" w:color="auto"/>
            </w:tcBorders>
            <w:shd w:val="clear" w:color="auto" w:fill="auto"/>
            <w:vAlign w:val="center"/>
          </w:tcPr>
          <w:p w14:paraId="6D45B8F6" w14:textId="77777777" w:rsidR="00BE60CD" w:rsidRPr="008704E2" w:rsidRDefault="00BE60CD" w:rsidP="00BE60CD">
            <w:pPr>
              <w:pStyle w:val="BodyTextIndent"/>
              <w:spacing w:after="0" w:line="240" w:lineRule="auto"/>
              <w:ind w:left="0" w:right="-115"/>
              <w:jc w:val="center"/>
              <w:rPr>
                <w:rFonts w:cs="Arial"/>
                <w:sz w:val="20"/>
              </w:rPr>
            </w:pPr>
            <w:r>
              <w:rPr>
                <w:rFonts w:cs="Arial"/>
                <w:sz w:val="20"/>
              </w:rPr>
              <w:t>0</w:t>
            </w:r>
          </w:p>
        </w:tc>
        <w:tc>
          <w:tcPr>
            <w:tcW w:w="990" w:type="dxa"/>
            <w:tcBorders>
              <w:bottom w:val="single" w:sz="4" w:space="0" w:color="auto"/>
            </w:tcBorders>
            <w:shd w:val="clear" w:color="auto" w:fill="auto"/>
            <w:vAlign w:val="center"/>
          </w:tcPr>
          <w:p w14:paraId="26D593EE" w14:textId="77777777" w:rsidR="00BE60CD" w:rsidRPr="008704E2" w:rsidRDefault="00BE60CD" w:rsidP="00BE60CD">
            <w:pPr>
              <w:pStyle w:val="BodyTextIndent"/>
              <w:spacing w:after="0" w:line="240" w:lineRule="auto"/>
              <w:ind w:left="0"/>
              <w:jc w:val="center"/>
              <w:rPr>
                <w:rFonts w:cs="Arial"/>
                <w:sz w:val="18"/>
                <w:szCs w:val="18"/>
              </w:rPr>
            </w:pPr>
            <w:r w:rsidRPr="008704E2">
              <w:rPr>
                <w:rFonts w:cs="Arial"/>
                <w:sz w:val="18"/>
                <w:szCs w:val="18"/>
              </w:rPr>
              <w:t>1.3</w:t>
            </w:r>
          </w:p>
        </w:tc>
        <w:tc>
          <w:tcPr>
            <w:tcW w:w="900" w:type="dxa"/>
            <w:tcBorders>
              <w:bottom w:val="single" w:sz="4" w:space="0" w:color="auto"/>
            </w:tcBorders>
            <w:shd w:val="clear" w:color="auto" w:fill="auto"/>
            <w:vAlign w:val="center"/>
          </w:tcPr>
          <w:p w14:paraId="6A98CDED" w14:textId="77777777" w:rsidR="00BE60CD" w:rsidRPr="008704E2" w:rsidRDefault="00BE60CD" w:rsidP="00BE60CD">
            <w:pPr>
              <w:pStyle w:val="BodyTextIndent"/>
              <w:spacing w:after="0" w:line="240" w:lineRule="auto"/>
              <w:ind w:left="0"/>
              <w:jc w:val="center"/>
              <w:rPr>
                <w:rFonts w:cs="Arial"/>
                <w:sz w:val="18"/>
                <w:szCs w:val="18"/>
              </w:rPr>
            </w:pPr>
            <w:r>
              <w:rPr>
                <w:rFonts w:cs="Arial"/>
                <w:sz w:val="18"/>
                <w:szCs w:val="18"/>
              </w:rPr>
              <w:t>1.3</w:t>
            </w:r>
          </w:p>
        </w:tc>
        <w:tc>
          <w:tcPr>
            <w:tcW w:w="1350" w:type="dxa"/>
            <w:tcBorders>
              <w:bottom w:val="single" w:sz="4" w:space="0" w:color="auto"/>
            </w:tcBorders>
            <w:shd w:val="clear" w:color="auto" w:fill="auto"/>
            <w:vAlign w:val="center"/>
          </w:tcPr>
          <w:p w14:paraId="0320ED58" w14:textId="1C456ACF" w:rsidR="00BE60CD" w:rsidRPr="008704E2" w:rsidRDefault="00A40AA2" w:rsidP="00BE60CD">
            <w:pPr>
              <w:pStyle w:val="BodyTextIndent"/>
              <w:spacing w:after="0" w:line="240" w:lineRule="auto"/>
              <w:ind w:left="0"/>
              <w:jc w:val="center"/>
              <w:rPr>
                <w:rFonts w:cs="Arial"/>
                <w:sz w:val="16"/>
                <w:szCs w:val="16"/>
              </w:rPr>
            </w:pPr>
            <w:r>
              <w:rPr>
                <w:rFonts w:cs="Arial"/>
                <w:sz w:val="16"/>
                <w:szCs w:val="16"/>
              </w:rPr>
              <w:t>9/2021</w:t>
            </w:r>
          </w:p>
        </w:tc>
        <w:tc>
          <w:tcPr>
            <w:tcW w:w="1530" w:type="dxa"/>
            <w:tcBorders>
              <w:bottom w:val="single" w:sz="4" w:space="0" w:color="auto"/>
            </w:tcBorders>
            <w:shd w:val="clear" w:color="auto" w:fill="auto"/>
            <w:vAlign w:val="center"/>
          </w:tcPr>
          <w:p w14:paraId="213E0031" w14:textId="77777777" w:rsidR="00BE60CD" w:rsidRDefault="00BE60CD" w:rsidP="00711D6F">
            <w:pPr>
              <w:pStyle w:val="Default"/>
              <w:rPr>
                <w:sz w:val="14"/>
                <w:szCs w:val="14"/>
              </w:rPr>
            </w:pPr>
            <w:r>
              <w:rPr>
                <w:sz w:val="14"/>
                <w:szCs w:val="14"/>
              </w:rPr>
              <w:t xml:space="preserve">Corrosion of household plumbing systems; erosion of natural deposits </w:t>
            </w:r>
          </w:p>
          <w:p w14:paraId="629A2C9F" w14:textId="77777777" w:rsidR="00BE60CD" w:rsidRPr="008704E2" w:rsidRDefault="00BE60CD" w:rsidP="00BE60CD">
            <w:pPr>
              <w:pStyle w:val="Default"/>
              <w:jc w:val="both"/>
              <w:rPr>
                <w:sz w:val="14"/>
                <w:szCs w:val="14"/>
              </w:rPr>
            </w:pPr>
          </w:p>
        </w:tc>
      </w:tr>
      <w:tr w:rsidR="00BE60CD" w:rsidRPr="008704E2" w14:paraId="1CDC26D4" w14:textId="77777777" w:rsidTr="00E21D4A">
        <w:trPr>
          <w:trHeight w:val="860"/>
        </w:trPr>
        <w:tc>
          <w:tcPr>
            <w:tcW w:w="1885" w:type="dxa"/>
            <w:shd w:val="clear" w:color="auto" w:fill="auto"/>
            <w:vAlign w:val="center"/>
          </w:tcPr>
          <w:p w14:paraId="7BEC5C42" w14:textId="77777777" w:rsidR="00BE60CD" w:rsidRPr="008704E2" w:rsidRDefault="00BE60CD" w:rsidP="00BE60CD">
            <w:pPr>
              <w:pStyle w:val="BodyTextIndent"/>
              <w:spacing w:after="0" w:line="240" w:lineRule="auto"/>
              <w:ind w:left="0"/>
              <w:rPr>
                <w:rFonts w:cs="Arial"/>
                <w:b/>
                <w:sz w:val="18"/>
                <w:szCs w:val="18"/>
              </w:rPr>
            </w:pPr>
            <w:r w:rsidRPr="008704E2">
              <w:rPr>
                <w:rFonts w:cs="Arial"/>
                <w:b/>
                <w:sz w:val="18"/>
                <w:szCs w:val="18"/>
              </w:rPr>
              <w:t>Lead (ppb)</w:t>
            </w:r>
          </w:p>
        </w:tc>
        <w:tc>
          <w:tcPr>
            <w:tcW w:w="990" w:type="dxa"/>
            <w:shd w:val="clear" w:color="auto" w:fill="auto"/>
            <w:vAlign w:val="center"/>
          </w:tcPr>
          <w:p w14:paraId="359C52A7" w14:textId="77777777" w:rsidR="00BE60CD" w:rsidRPr="008704E2" w:rsidRDefault="00BE60CD" w:rsidP="00BE60CD">
            <w:pPr>
              <w:pStyle w:val="BodyTextIndent"/>
              <w:spacing w:after="0" w:line="240" w:lineRule="auto"/>
              <w:ind w:left="0"/>
              <w:jc w:val="center"/>
              <w:rPr>
                <w:rFonts w:cs="Arial"/>
                <w:sz w:val="20"/>
              </w:rPr>
            </w:pPr>
            <w:r>
              <w:rPr>
                <w:rFonts w:cs="Arial"/>
                <w:sz w:val="20"/>
              </w:rPr>
              <w:t>N</w:t>
            </w:r>
          </w:p>
        </w:tc>
        <w:tc>
          <w:tcPr>
            <w:tcW w:w="1710" w:type="dxa"/>
            <w:shd w:val="clear" w:color="auto" w:fill="auto"/>
            <w:vAlign w:val="center"/>
          </w:tcPr>
          <w:p w14:paraId="491BA21D" w14:textId="4934FD4A" w:rsidR="00BE60CD" w:rsidRPr="00BA5804" w:rsidRDefault="00EA42E9" w:rsidP="00BE60CD">
            <w:pPr>
              <w:pStyle w:val="BodyTextIndent"/>
              <w:spacing w:after="0" w:line="240" w:lineRule="auto"/>
              <w:ind w:left="0"/>
              <w:jc w:val="center"/>
              <w:rPr>
                <w:rFonts w:cs="Arial"/>
                <w:sz w:val="20"/>
              </w:rPr>
            </w:pPr>
            <w:r>
              <w:rPr>
                <w:rFonts w:cs="Arial"/>
                <w:sz w:val="20"/>
              </w:rPr>
              <w:t>0.83</w:t>
            </w:r>
          </w:p>
          <w:p w14:paraId="44271D62" w14:textId="77777777" w:rsidR="00BE60CD" w:rsidRPr="00BA5804" w:rsidRDefault="00BE60CD" w:rsidP="00BE60CD">
            <w:pPr>
              <w:pStyle w:val="BodyTextIndent"/>
              <w:spacing w:after="0" w:line="240" w:lineRule="auto"/>
              <w:ind w:left="0"/>
              <w:jc w:val="center"/>
              <w:rPr>
                <w:rFonts w:cs="Arial"/>
                <w:sz w:val="20"/>
              </w:rPr>
            </w:pPr>
          </w:p>
        </w:tc>
        <w:tc>
          <w:tcPr>
            <w:tcW w:w="1710" w:type="dxa"/>
            <w:shd w:val="clear" w:color="auto" w:fill="auto"/>
            <w:vAlign w:val="center"/>
          </w:tcPr>
          <w:p w14:paraId="2B9F1331" w14:textId="77777777" w:rsidR="00BE60CD" w:rsidRPr="008704E2" w:rsidRDefault="00BE60CD" w:rsidP="00BE60CD">
            <w:pPr>
              <w:pStyle w:val="BodyTextIndent"/>
              <w:spacing w:after="0" w:line="240" w:lineRule="auto"/>
              <w:ind w:left="0"/>
              <w:jc w:val="center"/>
              <w:rPr>
                <w:rFonts w:cs="Arial"/>
                <w:sz w:val="20"/>
              </w:rPr>
            </w:pPr>
            <w:r>
              <w:rPr>
                <w:rFonts w:cs="Arial"/>
                <w:sz w:val="20"/>
              </w:rPr>
              <w:t>0</w:t>
            </w:r>
          </w:p>
        </w:tc>
        <w:tc>
          <w:tcPr>
            <w:tcW w:w="990" w:type="dxa"/>
            <w:shd w:val="clear" w:color="auto" w:fill="auto"/>
            <w:vAlign w:val="center"/>
          </w:tcPr>
          <w:p w14:paraId="10B0096F" w14:textId="77777777" w:rsidR="00BE60CD" w:rsidRPr="008704E2" w:rsidRDefault="00BE60CD" w:rsidP="00BE60CD">
            <w:pPr>
              <w:pStyle w:val="BodyTextIndent"/>
              <w:spacing w:after="0" w:line="240" w:lineRule="auto"/>
              <w:ind w:left="0"/>
              <w:jc w:val="center"/>
              <w:rPr>
                <w:rFonts w:cs="Arial"/>
                <w:sz w:val="18"/>
                <w:szCs w:val="18"/>
              </w:rPr>
            </w:pPr>
            <w:r w:rsidRPr="008704E2">
              <w:rPr>
                <w:rFonts w:cs="Arial"/>
                <w:sz w:val="18"/>
                <w:szCs w:val="18"/>
              </w:rPr>
              <w:t>15</w:t>
            </w:r>
          </w:p>
        </w:tc>
        <w:tc>
          <w:tcPr>
            <w:tcW w:w="900" w:type="dxa"/>
            <w:shd w:val="clear" w:color="auto" w:fill="auto"/>
            <w:vAlign w:val="center"/>
          </w:tcPr>
          <w:p w14:paraId="4C669781" w14:textId="77777777" w:rsidR="00BE60CD" w:rsidRPr="008704E2" w:rsidRDefault="00BE60CD" w:rsidP="00BE60CD">
            <w:pPr>
              <w:pStyle w:val="BodyTextIndent"/>
              <w:spacing w:after="0" w:line="240" w:lineRule="auto"/>
              <w:ind w:left="0"/>
              <w:jc w:val="center"/>
              <w:rPr>
                <w:rFonts w:cs="Arial"/>
                <w:sz w:val="18"/>
                <w:szCs w:val="18"/>
              </w:rPr>
            </w:pPr>
            <w:r>
              <w:rPr>
                <w:rFonts w:cs="Arial"/>
                <w:sz w:val="18"/>
                <w:szCs w:val="18"/>
              </w:rPr>
              <w:t>0</w:t>
            </w:r>
          </w:p>
        </w:tc>
        <w:tc>
          <w:tcPr>
            <w:tcW w:w="1350" w:type="dxa"/>
            <w:shd w:val="clear" w:color="auto" w:fill="auto"/>
            <w:vAlign w:val="center"/>
          </w:tcPr>
          <w:p w14:paraId="16CF01D6" w14:textId="013CF7F4" w:rsidR="00BE60CD" w:rsidRPr="008704E2" w:rsidRDefault="00A40AA2" w:rsidP="00BE60CD">
            <w:pPr>
              <w:pStyle w:val="BodyTextIndent"/>
              <w:spacing w:after="0" w:line="240" w:lineRule="auto"/>
              <w:ind w:left="0"/>
              <w:jc w:val="center"/>
              <w:rPr>
                <w:rFonts w:cs="Arial"/>
                <w:sz w:val="16"/>
                <w:szCs w:val="16"/>
              </w:rPr>
            </w:pPr>
            <w:r>
              <w:rPr>
                <w:rFonts w:cs="Arial"/>
                <w:sz w:val="16"/>
                <w:szCs w:val="16"/>
              </w:rPr>
              <w:t>9/2021</w:t>
            </w:r>
          </w:p>
        </w:tc>
        <w:tc>
          <w:tcPr>
            <w:tcW w:w="1530" w:type="dxa"/>
            <w:shd w:val="clear" w:color="auto" w:fill="auto"/>
            <w:vAlign w:val="center"/>
          </w:tcPr>
          <w:p w14:paraId="1E863DA5" w14:textId="77777777" w:rsidR="00BE60CD" w:rsidRDefault="00BE60CD" w:rsidP="00711D6F">
            <w:pPr>
              <w:pStyle w:val="Default"/>
              <w:rPr>
                <w:sz w:val="14"/>
                <w:szCs w:val="14"/>
              </w:rPr>
            </w:pPr>
            <w:r>
              <w:rPr>
                <w:sz w:val="14"/>
                <w:szCs w:val="14"/>
              </w:rPr>
              <w:t xml:space="preserve">Corrosion of household plumbing systems; erosion of natural deposits </w:t>
            </w:r>
          </w:p>
          <w:p w14:paraId="1EF7A0AF" w14:textId="77777777" w:rsidR="00BE60CD" w:rsidRPr="008704E2" w:rsidRDefault="00BE60CD" w:rsidP="00BE60CD">
            <w:pPr>
              <w:pStyle w:val="BodyTextIndent"/>
              <w:spacing w:after="0" w:line="240" w:lineRule="auto"/>
              <w:ind w:left="0"/>
              <w:rPr>
                <w:rFonts w:cs="Arial"/>
                <w:sz w:val="14"/>
                <w:szCs w:val="14"/>
              </w:rPr>
            </w:pPr>
          </w:p>
        </w:tc>
      </w:tr>
      <w:tr w:rsidR="00BE60CD" w:rsidRPr="008704E2" w14:paraId="4E1E7876" w14:textId="77777777" w:rsidTr="00691E7F">
        <w:trPr>
          <w:trHeight w:val="2690"/>
        </w:trPr>
        <w:tc>
          <w:tcPr>
            <w:tcW w:w="1885" w:type="dxa"/>
            <w:tcBorders>
              <w:bottom w:val="single" w:sz="4" w:space="0" w:color="auto"/>
            </w:tcBorders>
            <w:shd w:val="clear" w:color="auto" w:fill="BDD6EE" w:themeFill="accent1" w:themeFillTint="66"/>
            <w:vAlign w:val="center"/>
          </w:tcPr>
          <w:p w14:paraId="44CA50E8" w14:textId="77777777" w:rsidR="00BE60CD" w:rsidRPr="008704E2" w:rsidRDefault="00BE60CD" w:rsidP="00BE60CD">
            <w:pPr>
              <w:pStyle w:val="BodyTextIndent"/>
              <w:spacing w:after="0" w:line="240" w:lineRule="auto"/>
              <w:ind w:left="0"/>
              <w:rPr>
                <w:rFonts w:cs="Arial"/>
                <w:b/>
                <w:sz w:val="18"/>
                <w:szCs w:val="18"/>
              </w:rPr>
            </w:pPr>
            <w:r>
              <w:rPr>
                <w:rFonts w:cs="Arial"/>
                <w:b/>
                <w:sz w:val="16"/>
                <w:szCs w:val="16"/>
              </w:rPr>
              <w:t>Inorganic Chemical Analysis</w:t>
            </w:r>
          </w:p>
        </w:tc>
        <w:tc>
          <w:tcPr>
            <w:tcW w:w="990" w:type="dxa"/>
            <w:tcBorders>
              <w:bottom w:val="single" w:sz="4" w:space="0" w:color="auto"/>
            </w:tcBorders>
            <w:shd w:val="clear" w:color="auto" w:fill="BDD6EE" w:themeFill="accent1" w:themeFillTint="66"/>
            <w:vAlign w:val="center"/>
          </w:tcPr>
          <w:p w14:paraId="208EAF79" w14:textId="77777777" w:rsidR="00BE60CD" w:rsidRPr="008704E2" w:rsidRDefault="00BE60CD" w:rsidP="00BE60CD">
            <w:pPr>
              <w:keepNext/>
              <w:spacing w:line="240" w:lineRule="auto"/>
              <w:jc w:val="center"/>
              <w:rPr>
                <w:rFonts w:cs="Arial"/>
                <w:b/>
                <w:sz w:val="16"/>
                <w:szCs w:val="16"/>
              </w:rPr>
            </w:pPr>
            <w:r w:rsidRPr="008704E2">
              <w:rPr>
                <w:rFonts w:cs="Arial"/>
                <w:b/>
                <w:sz w:val="16"/>
                <w:szCs w:val="16"/>
              </w:rPr>
              <w:t>Violation</w:t>
            </w:r>
          </w:p>
          <w:p w14:paraId="1CEE6A9C" w14:textId="77777777" w:rsidR="00BE60CD" w:rsidRDefault="00BE60CD" w:rsidP="00BE60CD">
            <w:pPr>
              <w:pStyle w:val="BodyTextIndent"/>
              <w:spacing w:after="0" w:line="240" w:lineRule="auto"/>
              <w:ind w:left="0"/>
              <w:jc w:val="center"/>
              <w:rPr>
                <w:rFonts w:cs="Arial"/>
                <w:sz w:val="20"/>
              </w:rPr>
            </w:pPr>
            <w:r w:rsidRPr="008704E2">
              <w:rPr>
                <w:rFonts w:cs="Arial"/>
                <w:b/>
                <w:sz w:val="16"/>
                <w:szCs w:val="16"/>
              </w:rPr>
              <w:t>Y or N</w:t>
            </w:r>
          </w:p>
        </w:tc>
        <w:tc>
          <w:tcPr>
            <w:tcW w:w="1710" w:type="dxa"/>
            <w:tcBorders>
              <w:bottom w:val="single" w:sz="4" w:space="0" w:color="auto"/>
            </w:tcBorders>
            <w:shd w:val="clear" w:color="auto" w:fill="BDD6EE" w:themeFill="accent1" w:themeFillTint="66"/>
            <w:vAlign w:val="center"/>
          </w:tcPr>
          <w:p w14:paraId="017C9840" w14:textId="77777777" w:rsidR="00BE60CD" w:rsidRPr="008704E2" w:rsidRDefault="00BE60CD" w:rsidP="00BE60CD">
            <w:pPr>
              <w:pStyle w:val="BodyTextIndent"/>
              <w:spacing w:after="0" w:line="240" w:lineRule="auto"/>
              <w:ind w:left="0"/>
              <w:jc w:val="center"/>
              <w:rPr>
                <w:rFonts w:cs="Arial"/>
                <w:sz w:val="16"/>
                <w:szCs w:val="16"/>
              </w:rPr>
            </w:pPr>
            <w:r w:rsidRPr="008704E2">
              <w:rPr>
                <w:rFonts w:cs="Arial"/>
                <w:b/>
                <w:sz w:val="16"/>
                <w:szCs w:val="16"/>
              </w:rPr>
              <w:t>Highest Level Detected</w:t>
            </w:r>
          </w:p>
        </w:tc>
        <w:tc>
          <w:tcPr>
            <w:tcW w:w="1710" w:type="dxa"/>
            <w:tcBorders>
              <w:bottom w:val="single" w:sz="4" w:space="0" w:color="auto"/>
            </w:tcBorders>
            <w:shd w:val="clear" w:color="auto" w:fill="BDD6EE" w:themeFill="accent1" w:themeFillTint="66"/>
            <w:vAlign w:val="center"/>
          </w:tcPr>
          <w:p w14:paraId="23E97DDC" w14:textId="77777777" w:rsidR="00BE60CD" w:rsidRDefault="00BE60CD" w:rsidP="00BE60CD">
            <w:pPr>
              <w:pStyle w:val="BodyTextIndent"/>
              <w:spacing w:after="0" w:line="240" w:lineRule="auto"/>
              <w:ind w:left="0"/>
              <w:jc w:val="center"/>
              <w:rPr>
                <w:rFonts w:cs="Arial"/>
                <w:sz w:val="20"/>
              </w:rPr>
            </w:pPr>
            <w:r w:rsidRPr="008704E2">
              <w:rPr>
                <w:rFonts w:cs="Arial"/>
                <w:b/>
                <w:sz w:val="16"/>
                <w:szCs w:val="16"/>
              </w:rPr>
              <w:t>Range of All Samples (L-H)</w:t>
            </w:r>
          </w:p>
        </w:tc>
        <w:tc>
          <w:tcPr>
            <w:tcW w:w="990" w:type="dxa"/>
            <w:tcBorders>
              <w:bottom w:val="single" w:sz="4" w:space="0" w:color="auto"/>
            </w:tcBorders>
            <w:shd w:val="clear" w:color="auto" w:fill="BDD6EE" w:themeFill="accent1" w:themeFillTint="66"/>
            <w:vAlign w:val="center"/>
          </w:tcPr>
          <w:p w14:paraId="4F8E13A6" w14:textId="77777777" w:rsidR="00BE60CD" w:rsidRPr="008704E2" w:rsidRDefault="00BE60CD" w:rsidP="00BE60CD">
            <w:pPr>
              <w:pStyle w:val="BodyTextIndent"/>
              <w:spacing w:after="0" w:line="240" w:lineRule="auto"/>
              <w:ind w:left="0"/>
              <w:jc w:val="center"/>
              <w:rPr>
                <w:rFonts w:cs="Arial"/>
                <w:sz w:val="18"/>
                <w:szCs w:val="18"/>
              </w:rPr>
            </w:pPr>
            <w:r w:rsidRPr="008704E2">
              <w:rPr>
                <w:rFonts w:cs="Arial"/>
                <w:b/>
                <w:sz w:val="16"/>
                <w:szCs w:val="16"/>
              </w:rPr>
              <w:t>MCL</w:t>
            </w:r>
          </w:p>
        </w:tc>
        <w:tc>
          <w:tcPr>
            <w:tcW w:w="900" w:type="dxa"/>
            <w:tcBorders>
              <w:bottom w:val="single" w:sz="4" w:space="0" w:color="auto"/>
            </w:tcBorders>
            <w:shd w:val="clear" w:color="auto" w:fill="BDD6EE" w:themeFill="accent1" w:themeFillTint="66"/>
            <w:vAlign w:val="center"/>
          </w:tcPr>
          <w:p w14:paraId="1894AB86" w14:textId="77777777" w:rsidR="00BE60CD" w:rsidRDefault="00BE60CD" w:rsidP="00BE60CD">
            <w:pPr>
              <w:pStyle w:val="BodyTextIndent"/>
              <w:spacing w:after="0" w:line="240" w:lineRule="auto"/>
              <w:ind w:left="0"/>
              <w:jc w:val="center"/>
              <w:rPr>
                <w:rFonts w:cs="Arial"/>
                <w:sz w:val="18"/>
                <w:szCs w:val="18"/>
              </w:rPr>
            </w:pPr>
            <w:r w:rsidRPr="008704E2">
              <w:rPr>
                <w:rFonts w:cs="Arial"/>
                <w:b/>
                <w:sz w:val="16"/>
                <w:szCs w:val="16"/>
              </w:rPr>
              <w:t>MCLG</w:t>
            </w:r>
          </w:p>
        </w:tc>
        <w:tc>
          <w:tcPr>
            <w:tcW w:w="1350" w:type="dxa"/>
            <w:tcBorders>
              <w:bottom w:val="single" w:sz="4" w:space="0" w:color="auto"/>
            </w:tcBorders>
            <w:shd w:val="clear" w:color="auto" w:fill="BDD6EE" w:themeFill="accent1" w:themeFillTint="66"/>
            <w:vAlign w:val="center"/>
          </w:tcPr>
          <w:p w14:paraId="1A84F82B" w14:textId="77777777" w:rsidR="00BE60CD" w:rsidRDefault="00BE60CD" w:rsidP="00BE60CD">
            <w:pPr>
              <w:pStyle w:val="BodyTextIndent"/>
              <w:spacing w:after="0" w:line="240" w:lineRule="auto"/>
              <w:ind w:left="0"/>
              <w:jc w:val="center"/>
              <w:rPr>
                <w:rFonts w:cs="Arial"/>
                <w:sz w:val="16"/>
                <w:szCs w:val="16"/>
              </w:rPr>
            </w:pPr>
            <w:r w:rsidRPr="008704E2">
              <w:rPr>
                <w:rFonts w:cs="Arial"/>
                <w:b/>
                <w:sz w:val="16"/>
                <w:szCs w:val="16"/>
              </w:rPr>
              <w:t>Sample Month</w:t>
            </w:r>
            <w:r>
              <w:rPr>
                <w:rFonts w:cs="Arial"/>
                <w:b/>
                <w:sz w:val="16"/>
                <w:szCs w:val="16"/>
              </w:rPr>
              <w:t>/</w:t>
            </w:r>
            <w:r w:rsidRPr="008704E2">
              <w:rPr>
                <w:rFonts w:cs="Arial"/>
                <w:b/>
                <w:sz w:val="16"/>
                <w:szCs w:val="16"/>
              </w:rPr>
              <w:t>Year</w:t>
            </w:r>
          </w:p>
        </w:tc>
        <w:tc>
          <w:tcPr>
            <w:tcW w:w="1530" w:type="dxa"/>
            <w:tcBorders>
              <w:bottom w:val="single" w:sz="4" w:space="0" w:color="auto"/>
            </w:tcBorders>
            <w:shd w:val="clear" w:color="auto" w:fill="BDD6EE" w:themeFill="accent1" w:themeFillTint="66"/>
            <w:vAlign w:val="center"/>
          </w:tcPr>
          <w:p w14:paraId="7A313DD8" w14:textId="77777777" w:rsidR="00BE60CD" w:rsidRPr="008704E2" w:rsidRDefault="00BE60CD" w:rsidP="00BE60CD">
            <w:pPr>
              <w:pStyle w:val="BodyTextIndent"/>
              <w:spacing w:after="0" w:line="240" w:lineRule="auto"/>
              <w:ind w:left="0"/>
              <w:rPr>
                <w:rFonts w:cs="Arial"/>
                <w:sz w:val="14"/>
                <w:szCs w:val="14"/>
              </w:rPr>
            </w:pPr>
            <w:r w:rsidRPr="008704E2">
              <w:rPr>
                <w:rFonts w:cs="Arial"/>
                <w:b/>
                <w:sz w:val="16"/>
                <w:szCs w:val="16"/>
              </w:rPr>
              <w:t>Likely Source of Contamination</w:t>
            </w:r>
          </w:p>
        </w:tc>
      </w:tr>
      <w:tr w:rsidR="00BE60CD" w:rsidRPr="008704E2" w14:paraId="3EF0A2CC" w14:textId="77777777" w:rsidTr="00691E7F">
        <w:trPr>
          <w:trHeight w:val="1088"/>
        </w:trPr>
        <w:tc>
          <w:tcPr>
            <w:tcW w:w="1885" w:type="dxa"/>
            <w:shd w:val="clear" w:color="auto" w:fill="auto"/>
            <w:vAlign w:val="center"/>
          </w:tcPr>
          <w:p w14:paraId="02001D6A" w14:textId="77777777" w:rsidR="00BE60CD" w:rsidRPr="008704E2" w:rsidRDefault="00BE60CD" w:rsidP="00BE60CD">
            <w:pPr>
              <w:pStyle w:val="BodyTextIndent"/>
              <w:spacing w:after="0" w:line="240" w:lineRule="auto"/>
              <w:ind w:left="0"/>
              <w:rPr>
                <w:rFonts w:cs="Arial"/>
                <w:b/>
                <w:sz w:val="18"/>
                <w:szCs w:val="18"/>
              </w:rPr>
            </w:pPr>
            <w:r>
              <w:rPr>
                <w:rFonts w:cs="Arial"/>
                <w:b/>
                <w:sz w:val="18"/>
                <w:szCs w:val="18"/>
              </w:rPr>
              <w:t>Barium (ppm)</w:t>
            </w:r>
          </w:p>
        </w:tc>
        <w:tc>
          <w:tcPr>
            <w:tcW w:w="990" w:type="dxa"/>
            <w:shd w:val="clear" w:color="auto" w:fill="auto"/>
            <w:vAlign w:val="center"/>
          </w:tcPr>
          <w:p w14:paraId="5975171D" w14:textId="77777777" w:rsidR="00BE60CD" w:rsidRDefault="00BE60CD" w:rsidP="00BE60CD">
            <w:pPr>
              <w:pStyle w:val="BodyTextIndent"/>
              <w:spacing w:after="0" w:line="240" w:lineRule="auto"/>
              <w:ind w:left="0"/>
              <w:jc w:val="center"/>
              <w:rPr>
                <w:rFonts w:cs="Arial"/>
                <w:sz w:val="20"/>
              </w:rPr>
            </w:pPr>
            <w:r>
              <w:rPr>
                <w:rFonts w:cs="Arial"/>
                <w:sz w:val="20"/>
              </w:rPr>
              <w:t>N</w:t>
            </w:r>
          </w:p>
        </w:tc>
        <w:tc>
          <w:tcPr>
            <w:tcW w:w="1710" w:type="dxa"/>
            <w:shd w:val="clear" w:color="auto" w:fill="auto"/>
            <w:vAlign w:val="center"/>
          </w:tcPr>
          <w:p w14:paraId="7C04A8CC" w14:textId="77777777" w:rsidR="00BE60CD" w:rsidRPr="00161AC6" w:rsidRDefault="00BE60CD" w:rsidP="00BE60CD">
            <w:pPr>
              <w:pStyle w:val="BodyTextIndent"/>
              <w:spacing w:after="0" w:line="240" w:lineRule="auto"/>
              <w:ind w:left="0"/>
              <w:jc w:val="center"/>
              <w:rPr>
                <w:rFonts w:cs="Arial"/>
                <w:sz w:val="20"/>
              </w:rPr>
            </w:pPr>
            <w:r w:rsidRPr="00161AC6">
              <w:rPr>
                <w:rFonts w:cs="Arial"/>
                <w:sz w:val="20"/>
              </w:rPr>
              <w:t>0.012</w:t>
            </w:r>
          </w:p>
        </w:tc>
        <w:tc>
          <w:tcPr>
            <w:tcW w:w="1710" w:type="dxa"/>
            <w:shd w:val="clear" w:color="auto" w:fill="auto"/>
            <w:vAlign w:val="center"/>
          </w:tcPr>
          <w:p w14:paraId="59CC9537" w14:textId="77777777" w:rsidR="00BE60CD" w:rsidRDefault="00BE60CD" w:rsidP="00BE60CD">
            <w:pPr>
              <w:pStyle w:val="BodyTextIndent"/>
              <w:spacing w:after="0" w:line="240" w:lineRule="auto"/>
              <w:ind w:left="0"/>
              <w:jc w:val="center"/>
              <w:rPr>
                <w:rFonts w:cs="Arial"/>
                <w:sz w:val="20"/>
              </w:rPr>
            </w:pPr>
            <w:r>
              <w:rPr>
                <w:rFonts w:cs="Arial"/>
                <w:sz w:val="20"/>
              </w:rPr>
              <w:t>NA</w:t>
            </w:r>
          </w:p>
        </w:tc>
        <w:tc>
          <w:tcPr>
            <w:tcW w:w="990" w:type="dxa"/>
            <w:shd w:val="clear" w:color="auto" w:fill="auto"/>
            <w:vAlign w:val="center"/>
          </w:tcPr>
          <w:p w14:paraId="1885499B" w14:textId="77777777" w:rsidR="00BE60CD" w:rsidRPr="008704E2" w:rsidRDefault="00BE60CD" w:rsidP="00BE60CD">
            <w:pPr>
              <w:pStyle w:val="BodyTextIndent"/>
              <w:spacing w:after="0" w:line="240" w:lineRule="auto"/>
              <w:ind w:left="0"/>
              <w:jc w:val="center"/>
              <w:rPr>
                <w:rFonts w:cs="Arial"/>
                <w:sz w:val="18"/>
                <w:szCs w:val="18"/>
              </w:rPr>
            </w:pPr>
            <w:r>
              <w:rPr>
                <w:rFonts w:cs="Arial"/>
                <w:sz w:val="18"/>
                <w:szCs w:val="18"/>
              </w:rPr>
              <w:t xml:space="preserve">2 </w:t>
            </w:r>
          </w:p>
        </w:tc>
        <w:tc>
          <w:tcPr>
            <w:tcW w:w="900" w:type="dxa"/>
            <w:shd w:val="clear" w:color="auto" w:fill="auto"/>
            <w:vAlign w:val="center"/>
          </w:tcPr>
          <w:p w14:paraId="4C6584FE" w14:textId="77777777" w:rsidR="00BE60CD" w:rsidRDefault="00BE60CD" w:rsidP="00BE60CD">
            <w:pPr>
              <w:pStyle w:val="BodyTextIndent"/>
              <w:spacing w:after="0" w:line="240" w:lineRule="auto"/>
              <w:ind w:left="0"/>
              <w:jc w:val="center"/>
              <w:rPr>
                <w:rFonts w:cs="Arial"/>
                <w:sz w:val="18"/>
                <w:szCs w:val="18"/>
              </w:rPr>
            </w:pPr>
            <w:r>
              <w:rPr>
                <w:rFonts w:cs="Arial"/>
                <w:sz w:val="18"/>
                <w:szCs w:val="18"/>
              </w:rPr>
              <w:t>2</w:t>
            </w:r>
          </w:p>
        </w:tc>
        <w:tc>
          <w:tcPr>
            <w:tcW w:w="1350" w:type="dxa"/>
            <w:shd w:val="clear" w:color="auto" w:fill="auto"/>
            <w:vAlign w:val="center"/>
          </w:tcPr>
          <w:p w14:paraId="6DABDB43" w14:textId="5AD576C2" w:rsidR="00BE60CD" w:rsidRDefault="007A1270" w:rsidP="00BE60CD">
            <w:pPr>
              <w:pStyle w:val="BodyTextIndent"/>
              <w:spacing w:after="0" w:line="240" w:lineRule="auto"/>
              <w:ind w:left="0"/>
              <w:jc w:val="center"/>
              <w:rPr>
                <w:rFonts w:cs="Arial"/>
                <w:sz w:val="16"/>
                <w:szCs w:val="16"/>
              </w:rPr>
            </w:pPr>
            <w:r>
              <w:rPr>
                <w:rFonts w:cs="Arial"/>
                <w:sz w:val="16"/>
                <w:szCs w:val="16"/>
              </w:rPr>
              <w:t>12/</w:t>
            </w:r>
            <w:r w:rsidR="00BE60CD">
              <w:rPr>
                <w:rFonts w:cs="Arial"/>
                <w:sz w:val="16"/>
                <w:szCs w:val="16"/>
              </w:rPr>
              <w:t>2016</w:t>
            </w:r>
          </w:p>
        </w:tc>
        <w:tc>
          <w:tcPr>
            <w:tcW w:w="1530" w:type="dxa"/>
            <w:shd w:val="clear" w:color="auto" w:fill="auto"/>
            <w:vAlign w:val="center"/>
          </w:tcPr>
          <w:p w14:paraId="7507951E" w14:textId="77777777" w:rsidR="00BE60CD" w:rsidRPr="008704E2" w:rsidRDefault="00BE60CD" w:rsidP="00711D6F">
            <w:pPr>
              <w:pStyle w:val="BodyTextIndent"/>
              <w:spacing w:after="0" w:line="240" w:lineRule="auto"/>
              <w:ind w:left="0"/>
              <w:jc w:val="left"/>
              <w:rPr>
                <w:rFonts w:cs="Arial"/>
                <w:sz w:val="14"/>
                <w:szCs w:val="14"/>
              </w:rPr>
            </w:pPr>
            <w:r w:rsidRPr="000B5BC5">
              <w:rPr>
                <w:rFonts w:cs="Arial"/>
                <w:sz w:val="14"/>
                <w:szCs w:val="14"/>
              </w:rPr>
              <w:t>Discharge of drilling wastes; Discharge from metal refineries; Erosion of natural deposits</w:t>
            </w:r>
          </w:p>
        </w:tc>
      </w:tr>
      <w:tr w:rsidR="00BE60CD" w:rsidRPr="000B5BC5" w14:paraId="686A949A" w14:textId="037B0375" w:rsidTr="00691E7F">
        <w:trPr>
          <w:trHeight w:val="1070"/>
        </w:trPr>
        <w:tc>
          <w:tcPr>
            <w:tcW w:w="1885" w:type="dxa"/>
            <w:shd w:val="clear" w:color="auto" w:fill="auto"/>
            <w:vAlign w:val="center"/>
          </w:tcPr>
          <w:p w14:paraId="30A2528A" w14:textId="77777777" w:rsidR="00BE60CD" w:rsidRPr="008704E2" w:rsidRDefault="00BE60CD" w:rsidP="00BE60CD">
            <w:pPr>
              <w:pStyle w:val="BodyTextIndent"/>
              <w:spacing w:after="0" w:line="240" w:lineRule="auto"/>
              <w:ind w:left="0"/>
              <w:rPr>
                <w:rFonts w:cs="Arial"/>
                <w:b/>
                <w:sz w:val="18"/>
                <w:szCs w:val="18"/>
              </w:rPr>
            </w:pPr>
            <w:r>
              <w:rPr>
                <w:rFonts w:cs="Arial"/>
                <w:b/>
                <w:sz w:val="18"/>
                <w:szCs w:val="18"/>
              </w:rPr>
              <w:t>Fluoride (ppm)</w:t>
            </w:r>
          </w:p>
        </w:tc>
        <w:tc>
          <w:tcPr>
            <w:tcW w:w="990" w:type="dxa"/>
            <w:shd w:val="clear" w:color="auto" w:fill="auto"/>
            <w:vAlign w:val="center"/>
          </w:tcPr>
          <w:p w14:paraId="5E453739" w14:textId="77777777" w:rsidR="00BE60CD" w:rsidRDefault="00BE60CD" w:rsidP="00BE60CD">
            <w:pPr>
              <w:pStyle w:val="BodyTextIndent"/>
              <w:spacing w:after="0" w:line="240" w:lineRule="auto"/>
              <w:ind w:left="0"/>
              <w:jc w:val="center"/>
              <w:rPr>
                <w:rFonts w:cs="Arial"/>
                <w:sz w:val="20"/>
              </w:rPr>
            </w:pPr>
            <w:r>
              <w:rPr>
                <w:rFonts w:cs="Arial"/>
                <w:sz w:val="20"/>
              </w:rPr>
              <w:t>N</w:t>
            </w:r>
          </w:p>
        </w:tc>
        <w:tc>
          <w:tcPr>
            <w:tcW w:w="1710" w:type="dxa"/>
            <w:shd w:val="clear" w:color="auto" w:fill="auto"/>
            <w:vAlign w:val="center"/>
          </w:tcPr>
          <w:p w14:paraId="20645D4D" w14:textId="77777777" w:rsidR="00BE60CD" w:rsidRPr="00145651" w:rsidRDefault="00BE60CD" w:rsidP="00BE60CD">
            <w:pPr>
              <w:pStyle w:val="BodyTextIndent"/>
              <w:spacing w:after="0" w:line="240" w:lineRule="auto"/>
              <w:ind w:left="0"/>
              <w:jc w:val="center"/>
              <w:rPr>
                <w:rFonts w:cs="Arial"/>
                <w:sz w:val="20"/>
              </w:rPr>
            </w:pPr>
            <w:r w:rsidRPr="00145651">
              <w:rPr>
                <w:rFonts w:cs="Arial"/>
                <w:sz w:val="20"/>
              </w:rPr>
              <w:t>0.33</w:t>
            </w:r>
          </w:p>
        </w:tc>
        <w:tc>
          <w:tcPr>
            <w:tcW w:w="1710" w:type="dxa"/>
            <w:shd w:val="clear" w:color="auto" w:fill="auto"/>
            <w:vAlign w:val="center"/>
          </w:tcPr>
          <w:p w14:paraId="455C1369" w14:textId="77777777" w:rsidR="00BE60CD" w:rsidRDefault="00BE60CD" w:rsidP="00BE60CD">
            <w:pPr>
              <w:pStyle w:val="BodyTextIndent"/>
              <w:spacing w:after="0" w:line="240" w:lineRule="auto"/>
              <w:ind w:left="0"/>
              <w:jc w:val="center"/>
              <w:rPr>
                <w:rFonts w:cs="Arial"/>
                <w:sz w:val="20"/>
              </w:rPr>
            </w:pPr>
            <w:r>
              <w:rPr>
                <w:rFonts w:cs="Arial"/>
                <w:sz w:val="20"/>
              </w:rPr>
              <w:t>NA</w:t>
            </w:r>
          </w:p>
        </w:tc>
        <w:tc>
          <w:tcPr>
            <w:tcW w:w="990" w:type="dxa"/>
            <w:shd w:val="clear" w:color="auto" w:fill="auto"/>
            <w:vAlign w:val="center"/>
          </w:tcPr>
          <w:p w14:paraId="78618513" w14:textId="77777777" w:rsidR="00BE60CD" w:rsidRPr="008704E2" w:rsidRDefault="00BE60CD" w:rsidP="00BE60CD">
            <w:pPr>
              <w:pStyle w:val="BodyTextIndent"/>
              <w:spacing w:after="0" w:line="240" w:lineRule="auto"/>
              <w:ind w:left="0"/>
              <w:jc w:val="center"/>
              <w:rPr>
                <w:rFonts w:cs="Arial"/>
                <w:sz w:val="18"/>
                <w:szCs w:val="18"/>
              </w:rPr>
            </w:pPr>
            <w:r>
              <w:rPr>
                <w:rFonts w:cs="Arial"/>
                <w:sz w:val="18"/>
                <w:szCs w:val="18"/>
              </w:rPr>
              <w:t>4</w:t>
            </w:r>
          </w:p>
        </w:tc>
        <w:tc>
          <w:tcPr>
            <w:tcW w:w="900" w:type="dxa"/>
            <w:shd w:val="clear" w:color="auto" w:fill="auto"/>
            <w:vAlign w:val="center"/>
          </w:tcPr>
          <w:p w14:paraId="503B1340" w14:textId="77777777" w:rsidR="00BE60CD" w:rsidRDefault="00BE60CD" w:rsidP="00BE60CD">
            <w:pPr>
              <w:pStyle w:val="BodyTextIndent"/>
              <w:spacing w:after="0" w:line="240" w:lineRule="auto"/>
              <w:ind w:left="0"/>
              <w:jc w:val="center"/>
              <w:rPr>
                <w:rFonts w:cs="Arial"/>
                <w:sz w:val="18"/>
                <w:szCs w:val="18"/>
              </w:rPr>
            </w:pPr>
            <w:r>
              <w:rPr>
                <w:rFonts w:cs="Arial"/>
                <w:sz w:val="18"/>
                <w:szCs w:val="18"/>
              </w:rPr>
              <w:t>4</w:t>
            </w:r>
          </w:p>
        </w:tc>
        <w:tc>
          <w:tcPr>
            <w:tcW w:w="1350" w:type="dxa"/>
            <w:shd w:val="clear" w:color="auto" w:fill="auto"/>
            <w:vAlign w:val="center"/>
          </w:tcPr>
          <w:p w14:paraId="055E6714" w14:textId="6AD12DB1" w:rsidR="00BE60CD" w:rsidRDefault="007A1270" w:rsidP="00BE60CD">
            <w:pPr>
              <w:pStyle w:val="BodyTextIndent"/>
              <w:spacing w:after="0" w:line="240" w:lineRule="auto"/>
              <w:ind w:left="0"/>
              <w:jc w:val="center"/>
              <w:rPr>
                <w:rFonts w:cs="Arial"/>
                <w:sz w:val="16"/>
                <w:szCs w:val="16"/>
              </w:rPr>
            </w:pPr>
            <w:r>
              <w:rPr>
                <w:rFonts w:cs="Arial"/>
                <w:sz w:val="16"/>
                <w:szCs w:val="16"/>
              </w:rPr>
              <w:t>12/</w:t>
            </w:r>
            <w:r w:rsidR="00BE60CD">
              <w:rPr>
                <w:rFonts w:cs="Arial"/>
                <w:sz w:val="16"/>
                <w:szCs w:val="16"/>
              </w:rPr>
              <w:t>2016</w:t>
            </w:r>
          </w:p>
        </w:tc>
        <w:tc>
          <w:tcPr>
            <w:tcW w:w="1530" w:type="dxa"/>
            <w:shd w:val="clear" w:color="auto" w:fill="auto"/>
            <w:vAlign w:val="center"/>
          </w:tcPr>
          <w:p w14:paraId="11A5222A" w14:textId="77777777" w:rsidR="00BE60CD" w:rsidRDefault="00BE60CD" w:rsidP="003C031D">
            <w:pPr>
              <w:pStyle w:val="Default"/>
              <w:rPr>
                <w:sz w:val="14"/>
                <w:szCs w:val="14"/>
              </w:rPr>
            </w:pPr>
            <w:r>
              <w:rPr>
                <w:sz w:val="14"/>
                <w:szCs w:val="14"/>
              </w:rPr>
              <w:t xml:space="preserve">Erosion of natural deposits; water additive which promotes strong teeth; discharge from fertilizer and aluminum factories </w:t>
            </w:r>
          </w:p>
          <w:p w14:paraId="071C6C12" w14:textId="77777777" w:rsidR="00BE60CD" w:rsidRPr="000B5BC5" w:rsidRDefault="00BE60CD" w:rsidP="00BE60CD">
            <w:pPr>
              <w:pStyle w:val="Default"/>
              <w:rPr>
                <w:sz w:val="14"/>
                <w:szCs w:val="14"/>
              </w:rPr>
            </w:pPr>
          </w:p>
        </w:tc>
      </w:tr>
      <w:tr w:rsidR="00BC0BC9" w:rsidRPr="000B5BC5" w14:paraId="09FDB602" w14:textId="77777777" w:rsidTr="00691E7F">
        <w:trPr>
          <w:trHeight w:val="1070"/>
        </w:trPr>
        <w:tc>
          <w:tcPr>
            <w:tcW w:w="1885" w:type="dxa"/>
            <w:shd w:val="clear" w:color="auto" w:fill="BDD6EE" w:themeFill="accent1" w:themeFillTint="66"/>
            <w:vAlign w:val="center"/>
          </w:tcPr>
          <w:p w14:paraId="330CCA12" w14:textId="3B3843F8" w:rsidR="00BC0BC9" w:rsidRPr="00F2513B" w:rsidRDefault="00BC0BC9" w:rsidP="00BC0BC9">
            <w:pPr>
              <w:pStyle w:val="BodyTextIndent"/>
              <w:spacing w:after="0" w:line="240" w:lineRule="auto"/>
              <w:ind w:left="0"/>
              <w:rPr>
                <w:rFonts w:cs="Arial"/>
                <w:b/>
                <w:sz w:val="20"/>
              </w:rPr>
            </w:pPr>
            <w:ins w:id="23" w:author="Medina, Jason" w:date="2022-05-18T12:41:00Z">
              <w:r w:rsidRPr="00F2513B">
                <w:rPr>
                  <w:sz w:val="20"/>
                </w:rPr>
                <w:t>I</w:t>
              </w:r>
            </w:ins>
            <w:r w:rsidRPr="00F2513B">
              <w:rPr>
                <w:sz w:val="20"/>
              </w:rPr>
              <w:t>norganic Chemicals (IOC)</w:t>
            </w:r>
          </w:p>
        </w:tc>
        <w:tc>
          <w:tcPr>
            <w:tcW w:w="990" w:type="dxa"/>
            <w:shd w:val="clear" w:color="auto" w:fill="BDD6EE" w:themeFill="accent1" w:themeFillTint="66"/>
            <w:vAlign w:val="center"/>
          </w:tcPr>
          <w:p w14:paraId="0CB0D222" w14:textId="716F7EAA" w:rsidR="00BC0BC9" w:rsidRPr="00F2513B" w:rsidRDefault="00BC0BC9" w:rsidP="00BC0BC9">
            <w:pPr>
              <w:pStyle w:val="BodyTextIndent"/>
              <w:spacing w:after="0" w:line="240" w:lineRule="auto"/>
              <w:ind w:left="0"/>
              <w:jc w:val="center"/>
              <w:rPr>
                <w:rFonts w:cs="Arial"/>
                <w:sz w:val="20"/>
              </w:rPr>
            </w:pPr>
            <w:r w:rsidRPr="00F2513B">
              <w:rPr>
                <w:sz w:val="20"/>
              </w:rPr>
              <w:t>MCL Violation Y or N</w:t>
            </w:r>
          </w:p>
        </w:tc>
        <w:tc>
          <w:tcPr>
            <w:tcW w:w="1710" w:type="dxa"/>
            <w:shd w:val="clear" w:color="auto" w:fill="BDD6EE" w:themeFill="accent1" w:themeFillTint="66"/>
            <w:vAlign w:val="center"/>
          </w:tcPr>
          <w:p w14:paraId="767A21AA" w14:textId="27AB26AF" w:rsidR="00BC0BC9" w:rsidRPr="00F2513B" w:rsidRDefault="00DC547B" w:rsidP="00BC0BC9">
            <w:pPr>
              <w:pStyle w:val="BodyTextIndent"/>
              <w:spacing w:after="0" w:line="240" w:lineRule="auto"/>
              <w:ind w:left="0"/>
              <w:jc w:val="center"/>
              <w:rPr>
                <w:rFonts w:cs="Arial"/>
                <w:sz w:val="20"/>
              </w:rPr>
            </w:pPr>
            <w:r>
              <w:rPr>
                <w:sz w:val="20"/>
              </w:rPr>
              <w:t>R</w:t>
            </w:r>
            <w:r w:rsidR="00BC0BC9" w:rsidRPr="00F2513B">
              <w:rPr>
                <w:sz w:val="20"/>
              </w:rPr>
              <w:t>unning Annual Average (RAA) OR Highest Level</w:t>
            </w:r>
          </w:p>
        </w:tc>
        <w:tc>
          <w:tcPr>
            <w:tcW w:w="1710" w:type="dxa"/>
            <w:shd w:val="clear" w:color="auto" w:fill="BDD6EE" w:themeFill="accent1" w:themeFillTint="66"/>
            <w:vAlign w:val="center"/>
          </w:tcPr>
          <w:p w14:paraId="466A6341" w14:textId="1B7A6BDF" w:rsidR="00BC0BC9" w:rsidRPr="00BC0BC9" w:rsidRDefault="00BC0BC9" w:rsidP="00BC0BC9">
            <w:pPr>
              <w:pStyle w:val="BodyTextIndent"/>
              <w:spacing w:after="0" w:line="240" w:lineRule="auto"/>
              <w:ind w:left="0"/>
              <w:jc w:val="center"/>
              <w:rPr>
                <w:rFonts w:cs="Arial"/>
                <w:sz w:val="20"/>
              </w:rPr>
            </w:pPr>
            <w:r w:rsidRPr="00BC0BC9">
              <w:rPr>
                <w:sz w:val="20"/>
              </w:rPr>
              <w:t>Range of All Samples (Low-High)</w:t>
            </w:r>
          </w:p>
        </w:tc>
        <w:tc>
          <w:tcPr>
            <w:tcW w:w="990" w:type="dxa"/>
            <w:shd w:val="clear" w:color="auto" w:fill="BDD6EE" w:themeFill="accent1" w:themeFillTint="66"/>
            <w:vAlign w:val="center"/>
          </w:tcPr>
          <w:p w14:paraId="7A6E8F0C" w14:textId="0B87BA43" w:rsidR="00BC0BC9" w:rsidRPr="00F2513B" w:rsidRDefault="00BC0BC9" w:rsidP="00BC0BC9">
            <w:pPr>
              <w:pStyle w:val="BodyTextIndent"/>
              <w:spacing w:after="0" w:line="240" w:lineRule="auto"/>
              <w:ind w:left="0"/>
              <w:jc w:val="center"/>
              <w:rPr>
                <w:rFonts w:cs="Arial"/>
                <w:sz w:val="20"/>
              </w:rPr>
            </w:pPr>
            <w:r w:rsidRPr="008704E2">
              <w:rPr>
                <w:rFonts w:cs="Arial"/>
                <w:b/>
                <w:sz w:val="16"/>
                <w:szCs w:val="16"/>
              </w:rPr>
              <w:t>MCL</w:t>
            </w:r>
          </w:p>
        </w:tc>
        <w:tc>
          <w:tcPr>
            <w:tcW w:w="900" w:type="dxa"/>
            <w:shd w:val="clear" w:color="auto" w:fill="BDD6EE" w:themeFill="accent1" w:themeFillTint="66"/>
            <w:vAlign w:val="center"/>
          </w:tcPr>
          <w:p w14:paraId="7E72C8C6" w14:textId="71014C11" w:rsidR="00BC0BC9" w:rsidRPr="00F2513B" w:rsidRDefault="00BC0BC9" w:rsidP="00BC0BC9">
            <w:pPr>
              <w:pStyle w:val="BodyTextIndent"/>
              <w:spacing w:after="0" w:line="240" w:lineRule="auto"/>
              <w:ind w:left="0"/>
              <w:jc w:val="center"/>
              <w:rPr>
                <w:rFonts w:cs="Arial"/>
                <w:sz w:val="20"/>
              </w:rPr>
            </w:pPr>
            <w:r w:rsidRPr="008704E2">
              <w:rPr>
                <w:rFonts w:cs="Arial"/>
                <w:b/>
                <w:sz w:val="16"/>
                <w:szCs w:val="16"/>
              </w:rPr>
              <w:t>MCLG</w:t>
            </w:r>
          </w:p>
        </w:tc>
        <w:tc>
          <w:tcPr>
            <w:tcW w:w="1350" w:type="dxa"/>
            <w:shd w:val="clear" w:color="auto" w:fill="BDD6EE" w:themeFill="accent1" w:themeFillTint="66"/>
            <w:vAlign w:val="center"/>
          </w:tcPr>
          <w:p w14:paraId="148D593B" w14:textId="59D01D10" w:rsidR="00BC0BC9" w:rsidRPr="00F2513B" w:rsidRDefault="00BC0BC9" w:rsidP="00BC0BC9">
            <w:pPr>
              <w:pStyle w:val="BodyTextIndent"/>
              <w:spacing w:after="0" w:line="240" w:lineRule="auto"/>
              <w:ind w:left="0"/>
              <w:jc w:val="center"/>
              <w:rPr>
                <w:rFonts w:cs="Arial"/>
                <w:sz w:val="20"/>
              </w:rPr>
            </w:pPr>
            <w:r w:rsidRPr="008704E2">
              <w:rPr>
                <w:rFonts w:cs="Arial"/>
                <w:b/>
                <w:sz w:val="16"/>
                <w:szCs w:val="16"/>
              </w:rPr>
              <w:t>Sample Month</w:t>
            </w:r>
            <w:r>
              <w:rPr>
                <w:rFonts w:cs="Arial"/>
                <w:b/>
                <w:sz w:val="16"/>
                <w:szCs w:val="16"/>
              </w:rPr>
              <w:t>/</w:t>
            </w:r>
            <w:r w:rsidRPr="008704E2">
              <w:rPr>
                <w:rFonts w:cs="Arial"/>
                <w:b/>
                <w:sz w:val="16"/>
                <w:szCs w:val="16"/>
              </w:rPr>
              <w:t>Year</w:t>
            </w:r>
          </w:p>
        </w:tc>
        <w:tc>
          <w:tcPr>
            <w:tcW w:w="1530" w:type="dxa"/>
            <w:shd w:val="clear" w:color="auto" w:fill="BDD6EE" w:themeFill="accent1" w:themeFillTint="66"/>
            <w:vAlign w:val="center"/>
          </w:tcPr>
          <w:p w14:paraId="0DA4E54F" w14:textId="1FF7D671" w:rsidR="00BC0BC9" w:rsidRPr="00F2513B" w:rsidRDefault="00BC0BC9" w:rsidP="00BC0BC9">
            <w:pPr>
              <w:pStyle w:val="Default"/>
              <w:rPr>
                <w:sz w:val="20"/>
                <w:szCs w:val="20"/>
              </w:rPr>
            </w:pPr>
            <w:r w:rsidRPr="008704E2">
              <w:rPr>
                <w:b/>
                <w:sz w:val="16"/>
                <w:szCs w:val="16"/>
              </w:rPr>
              <w:t>Likely Source of Contamination</w:t>
            </w:r>
          </w:p>
        </w:tc>
      </w:tr>
      <w:tr w:rsidR="00BC0BC9" w:rsidRPr="000B5BC5" w14:paraId="32D89631" w14:textId="77777777" w:rsidTr="00691E7F">
        <w:trPr>
          <w:trHeight w:val="1070"/>
        </w:trPr>
        <w:tc>
          <w:tcPr>
            <w:tcW w:w="1885" w:type="dxa"/>
            <w:tcBorders>
              <w:bottom w:val="single" w:sz="4" w:space="0" w:color="auto"/>
            </w:tcBorders>
            <w:shd w:val="clear" w:color="auto" w:fill="auto"/>
            <w:vAlign w:val="center"/>
          </w:tcPr>
          <w:p w14:paraId="1B34C633" w14:textId="7BED0406" w:rsidR="00BC0BC9" w:rsidRPr="00410A40" w:rsidRDefault="00DB48D0" w:rsidP="00BC0BC9">
            <w:pPr>
              <w:pStyle w:val="BodyTextIndent"/>
              <w:spacing w:after="0" w:line="240" w:lineRule="auto"/>
              <w:ind w:left="0"/>
              <w:rPr>
                <w:sz w:val="20"/>
              </w:rPr>
            </w:pPr>
            <w:r w:rsidRPr="00410A40">
              <w:rPr>
                <w:sz w:val="20"/>
              </w:rPr>
              <w:t>Sodium (ppm)</w:t>
            </w:r>
          </w:p>
        </w:tc>
        <w:tc>
          <w:tcPr>
            <w:tcW w:w="990" w:type="dxa"/>
            <w:tcBorders>
              <w:bottom w:val="single" w:sz="4" w:space="0" w:color="auto"/>
            </w:tcBorders>
            <w:shd w:val="clear" w:color="auto" w:fill="auto"/>
            <w:vAlign w:val="center"/>
          </w:tcPr>
          <w:p w14:paraId="52A4628D" w14:textId="4C5C7230" w:rsidR="00BC0BC9" w:rsidRPr="00F2513B" w:rsidRDefault="00DC547B" w:rsidP="00BC0BC9">
            <w:pPr>
              <w:pStyle w:val="BodyTextIndent"/>
              <w:spacing w:after="0" w:line="240" w:lineRule="auto"/>
              <w:ind w:left="0"/>
              <w:jc w:val="center"/>
              <w:rPr>
                <w:sz w:val="20"/>
              </w:rPr>
            </w:pPr>
            <w:r>
              <w:rPr>
                <w:sz w:val="20"/>
              </w:rPr>
              <w:t>N</w:t>
            </w:r>
          </w:p>
        </w:tc>
        <w:tc>
          <w:tcPr>
            <w:tcW w:w="1710" w:type="dxa"/>
            <w:tcBorders>
              <w:bottom w:val="single" w:sz="4" w:space="0" w:color="auto"/>
            </w:tcBorders>
            <w:shd w:val="clear" w:color="auto" w:fill="auto"/>
            <w:vAlign w:val="center"/>
          </w:tcPr>
          <w:p w14:paraId="076594C4" w14:textId="7E5EC869" w:rsidR="00BC0BC9" w:rsidRPr="00F2513B" w:rsidRDefault="00C56074" w:rsidP="00BC0BC9">
            <w:pPr>
              <w:pStyle w:val="BodyTextIndent"/>
              <w:spacing w:after="0" w:line="240" w:lineRule="auto"/>
              <w:ind w:left="0"/>
              <w:jc w:val="center"/>
              <w:rPr>
                <w:sz w:val="20"/>
              </w:rPr>
            </w:pPr>
            <w:r>
              <w:rPr>
                <w:sz w:val="20"/>
              </w:rPr>
              <w:t>59</w:t>
            </w:r>
          </w:p>
        </w:tc>
        <w:tc>
          <w:tcPr>
            <w:tcW w:w="1710" w:type="dxa"/>
            <w:tcBorders>
              <w:bottom w:val="single" w:sz="4" w:space="0" w:color="auto"/>
            </w:tcBorders>
            <w:shd w:val="clear" w:color="auto" w:fill="auto"/>
            <w:vAlign w:val="center"/>
          </w:tcPr>
          <w:p w14:paraId="5F08D900" w14:textId="696D7C9A" w:rsidR="00BC0BC9" w:rsidRPr="00410A40" w:rsidRDefault="00C56074" w:rsidP="00BC0BC9">
            <w:pPr>
              <w:pStyle w:val="BodyTextIndent"/>
              <w:spacing w:after="0" w:line="240" w:lineRule="auto"/>
              <w:ind w:left="0"/>
              <w:jc w:val="center"/>
              <w:rPr>
                <w:sz w:val="20"/>
              </w:rPr>
            </w:pPr>
            <w:r w:rsidRPr="00410A40">
              <w:rPr>
                <w:sz w:val="20"/>
              </w:rPr>
              <w:t>NA</w:t>
            </w:r>
          </w:p>
        </w:tc>
        <w:tc>
          <w:tcPr>
            <w:tcW w:w="990" w:type="dxa"/>
            <w:tcBorders>
              <w:bottom w:val="single" w:sz="4" w:space="0" w:color="auto"/>
            </w:tcBorders>
            <w:shd w:val="clear" w:color="auto" w:fill="auto"/>
            <w:vAlign w:val="center"/>
          </w:tcPr>
          <w:p w14:paraId="7179BEDF" w14:textId="2852004E" w:rsidR="00BC0BC9" w:rsidRPr="00410A40" w:rsidRDefault="00C663AD" w:rsidP="00BC0BC9">
            <w:pPr>
              <w:pStyle w:val="BodyTextIndent"/>
              <w:spacing w:after="0" w:line="240" w:lineRule="auto"/>
              <w:ind w:left="0"/>
              <w:jc w:val="center"/>
              <w:rPr>
                <w:rFonts w:cs="Arial"/>
                <w:bCs/>
                <w:sz w:val="20"/>
              </w:rPr>
            </w:pPr>
            <w:r w:rsidRPr="00410A40">
              <w:rPr>
                <w:rFonts w:cs="Arial"/>
                <w:bCs/>
                <w:sz w:val="20"/>
              </w:rPr>
              <w:t>NA</w:t>
            </w:r>
          </w:p>
        </w:tc>
        <w:tc>
          <w:tcPr>
            <w:tcW w:w="900" w:type="dxa"/>
            <w:tcBorders>
              <w:bottom w:val="single" w:sz="4" w:space="0" w:color="auto"/>
            </w:tcBorders>
            <w:shd w:val="clear" w:color="auto" w:fill="auto"/>
            <w:vAlign w:val="center"/>
          </w:tcPr>
          <w:p w14:paraId="669C6419" w14:textId="6CE27A70" w:rsidR="00BC0BC9" w:rsidRPr="00410A40" w:rsidRDefault="00C663AD" w:rsidP="00BC0BC9">
            <w:pPr>
              <w:pStyle w:val="BodyTextIndent"/>
              <w:spacing w:after="0" w:line="240" w:lineRule="auto"/>
              <w:ind w:left="0"/>
              <w:jc w:val="center"/>
              <w:rPr>
                <w:rFonts w:cs="Arial"/>
                <w:bCs/>
                <w:sz w:val="20"/>
              </w:rPr>
            </w:pPr>
            <w:r w:rsidRPr="00410A40">
              <w:rPr>
                <w:rFonts w:cs="Arial"/>
                <w:bCs/>
                <w:sz w:val="20"/>
              </w:rPr>
              <w:t>N</w:t>
            </w:r>
            <w:r w:rsidR="008E3E6F" w:rsidRPr="00410A40">
              <w:rPr>
                <w:rFonts w:cs="Arial"/>
                <w:bCs/>
                <w:sz w:val="20"/>
              </w:rPr>
              <w:t>A</w:t>
            </w:r>
          </w:p>
        </w:tc>
        <w:tc>
          <w:tcPr>
            <w:tcW w:w="1350" w:type="dxa"/>
            <w:tcBorders>
              <w:bottom w:val="single" w:sz="4" w:space="0" w:color="auto"/>
            </w:tcBorders>
            <w:shd w:val="clear" w:color="auto" w:fill="auto"/>
            <w:vAlign w:val="center"/>
          </w:tcPr>
          <w:p w14:paraId="18B91349" w14:textId="4E34579E" w:rsidR="00BC0BC9" w:rsidRPr="00410A40" w:rsidRDefault="00C663AD" w:rsidP="00BC0BC9">
            <w:pPr>
              <w:pStyle w:val="BodyTextIndent"/>
              <w:spacing w:after="0" w:line="240" w:lineRule="auto"/>
              <w:ind w:left="0"/>
              <w:jc w:val="center"/>
              <w:rPr>
                <w:rFonts w:cs="Arial"/>
                <w:bCs/>
                <w:sz w:val="20"/>
              </w:rPr>
            </w:pPr>
            <w:r w:rsidRPr="00410A40">
              <w:rPr>
                <w:rFonts w:cs="Arial"/>
                <w:bCs/>
                <w:sz w:val="20"/>
              </w:rPr>
              <w:t>2021</w:t>
            </w:r>
          </w:p>
        </w:tc>
        <w:tc>
          <w:tcPr>
            <w:tcW w:w="1530" w:type="dxa"/>
            <w:tcBorders>
              <w:bottom w:val="single" w:sz="4" w:space="0" w:color="auto"/>
            </w:tcBorders>
            <w:shd w:val="clear" w:color="auto" w:fill="auto"/>
            <w:vAlign w:val="center"/>
          </w:tcPr>
          <w:p w14:paraId="0F25A932" w14:textId="6B4E0F31" w:rsidR="00BC0BC9" w:rsidRPr="00410A40" w:rsidRDefault="00BB43DE" w:rsidP="00BC0BC9">
            <w:pPr>
              <w:pStyle w:val="Default"/>
              <w:rPr>
                <w:b/>
                <w:sz w:val="14"/>
                <w:szCs w:val="14"/>
              </w:rPr>
            </w:pPr>
            <w:r w:rsidRPr="00410A40">
              <w:rPr>
                <w:sz w:val="14"/>
                <w:szCs w:val="14"/>
              </w:rPr>
              <w:t>Erosion of natural deposits</w:t>
            </w:r>
          </w:p>
        </w:tc>
      </w:tr>
    </w:tbl>
    <w:p w14:paraId="1B589F44" w14:textId="32B90E84" w:rsidR="006A694D" w:rsidDel="000507FA" w:rsidRDefault="006A694D" w:rsidP="00A105D3">
      <w:pPr>
        <w:pStyle w:val="BodyTextIndent"/>
        <w:spacing w:after="0" w:line="240" w:lineRule="auto"/>
        <w:ind w:left="0"/>
        <w:rPr>
          <w:del w:id="24" w:author="Author"/>
        </w:rPr>
      </w:pPr>
    </w:p>
    <w:p w14:paraId="006EAF2E" w14:textId="3143274B" w:rsidR="000507FA" w:rsidDel="008D74C6" w:rsidRDefault="000507FA" w:rsidP="00BA5804">
      <w:pPr>
        <w:pStyle w:val="BodyText"/>
        <w:spacing w:line="200" w:lineRule="atLeast"/>
        <w:jc w:val="both"/>
        <w:rPr>
          <w:del w:id="25" w:author="Medina, Jason" w:date="2022-05-11T13:11:00Z"/>
          <w:b w:val="0"/>
        </w:rPr>
      </w:pPr>
    </w:p>
    <w:p w14:paraId="784728D5" w14:textId="77777777" w:rsidR="000507FA" w:rsidRDefault="000507FA" w:rsidP="00BA5804">
      <w:pPr>
        <w:pStyle w:val="BodyText"/>
        <w:spacing w:line="200" w:lineRule="atLeast"/>
        <w:jc w:val="both"/>
      </w:pPr>
    </w:p>
    <w:p w14:paraId="50F78A50" w14:textId="77777777" w:rsidR="00CD2F1A" w:rsidDel="007A1270" w:rsidRDefault="00CD2F1A" w:rsidP="006A694D">
      <w:pPr>
        <w:widowControl/>
        <w:overflowPunct/>
        <w:spacing w:line="240" w:lineRule="auto"/>
        <w:jc w:val="left"/>
        <w:textAlignment w:val="auto"/>
        <w:rPr>
          <w:del w:id="26" w:author="Author"/>
          <w:b/>
          <w:sz w:val="20"/>
          <w:u w:val="single"/>
        </w:rPr>
      </w:pPr>
    </w:p>
    <w:p w14:paraId="61591CF7" w14:textId="77777777" w:rsidR="000507FA" w:rsidRDefault="00CD2F1A" w:rsidP="00A105D3">
      <w:pPr>
        <w:pStyle w:val="BodyTextIndent"/>
        <w:spacing w:after="0" w:line="240" w:lineRule="auto"/>
        <w:ind w:left="0"/>
        <w:rPr>
          <w:ins w:id="27" w:author="Medina, Jason" w:date="2021-05-18T10:22:00Z"/>
          <w:rFonts w:ascii="Times New Roman" w:hAnsi="Times New Roman"/>
          <w:sz w:val="16"/>
          <w:szCs w:val="16"/>
        </w:rPr>
      </w:pPr>
      <w:r w:rsidRPr="00A11339">
        <w:rPr>
          <w:rFonts w:ascii="Times New Roman" w:hAnsi="Times New Roman"/>
          <w:sz w:val="16"/>
          <w:szCs w:val="16"/>
        </w:rPr>
        <w:t xml:space="preserve">NOTE: Data presented in the tables above are from the most recent testing done in accordance with applicable regulations. Some constituents are </w:t>
      </w:r>
    </w:p>
    <w:p w14:paraId="43821047" w14:textId="05BA90FE" w:rsidR="006A694D" w:rsidRPr="00A105D3" w:rsidRDefault="00CD2F1A" w:rsidP="00A105D3">
      <w:pPr>
        <w:pStyle w:val="BodyTextIndent"/>
        <w:spacing w:after="0" w:line="240" w:lineRule="auto"/>
        <w:ind w:left="0"/>
        <w:rPr>
          <w:rFonts w:ascii="Times New Roman" w:hAnsi="Times New Roman"/>
          <w:sz w:val="16"/>
          <w:szCs w:val="16"/>
        </w:rPr>
      </w:pPr>
      <w:r w:rsidRPr="00A11339">
        <w:rPr>
          <w:rFonts w:ascii="Times New Roman" w:hAnsi="Times New Roman"/>
          <w:sz w:val="16"/>
          <w:szCs w:val="16"/>
        </w:rPr>
        <w:t xml:space="preserve">monitored less frequently than once per year because either their concentrations do not change frequently, or they are not likely to be detected. Therefore, some of the water quality testing data contained herein, although representative, may be more than one year old. The </w:t>
      </w:r>
      <w:r>
        <w:rPr>
          <w:rFonts w:ascii="Times New Roman" w:hAnsi="Times New Roman"/>
          <w:sz w:val="16"/>
          <w:szCs w:val="16"/>
        </w:rPr>
        <w:t>EPA</w:t>
      </w:r>
      <w:r w:rsidRPr="00A11339">
        <w:rPr>
          <w:rFonts w:ascii="Times New Roman" w:hAnsi="Times New Roman"/>
          <w:sz w:val="16"/>
          <w:szCs w:val="16"/>
        </w:rPr>
        <w:t xml:space="preserve"> requires monitoring of over 80 drinking water contaminants. Those listed above are the only contaminants detected in your drinking water. For a complete list of all contaminants monitored please contact ADEQ. </w:t>
      </w:r>
    </w:p>
    <w:p w14:paraId="6FB75F3D" w14:textId="77777777" w:rsidR="006A694D" w:rsidRDefault="006A694D" w:rsidP="006A694D">
      <w:pPr>
        <w:pStyle w:val="BodyText"/>
        <w:spacing w:line="240" w:lineRule="atLeast"/>
        <w:jc w:val="left"/>
        <w:rPr>
          <w:sz w:val="20"/>
          <w:u w:val="single"/>
        </w:rPr>
      </w:pPr>
    </w:p>
    <w:p w14:paraId="68CD9321" w14:textId="49078D12" w:rsidR="006A694D" w:rsidRDefault="006A694D" w:rsidP="006A694D">
      <w:pPr>
        <w:pStyle w:val="BodyText"/>
        <w:spacing w:line="240" w:lineRule="atLeast"/>
        <w:jc w:val="left"/>
        <w:rPr>
          <w:b w:val="0"/>
          <w:sz w:val="18"/>
          <w:szCs w:val="18"/>
        </w:rPr>
      </w:pPr>
      <w:r w:rsidRPr="00A1414A">
        <w:rPr>
          <w:sz w:val="20"/>
          <w:u w:val="single"/>
        </w:rPr>
        <w:t>Lead</w:t>
      </w:r>
      <w:r w:rsidR="00A05100" w:rsidRPr="00A1414A">
        <w:rPr>
          <w:sz w:val="20"/>
          <w:u w:val="single"/>
        </w:rPr>
        <w:t xml:space="preserve"> Informational Statement</w:t>
      </w:r>
    </w:p>
    <w:p w14:paraId="31924F73" w14:textId="77777777" w:rsidR="006A694D" w:rsidRDefault="006A694D" w:rsidP="006A694D">
      <w:pPr>
        <w:pStyle w:val="BodyText"/>
        <w:spacing w:line="240" w:lineRule="atLeast"/>
        <w:jc w:val="left"/>
        <w:rPr>
          <w:b w:val="0"/>
          <w:sz w:val="18"/>
          <w:szCs w:val="18"/>
        </w:rPr>
      </w:pPr>
    </w:p>
    <w:p w14:paraId="54FECF49" w14:textId="5AC19386" w:rsidR="006A694D" w:rsidRPr="00390315" w:rsidRDefault="006A694D" w:rsidP="006A694D">
      <w:pPr>
        <w:pStyle w:val="BodyText3"/>
        <w:spacing w:line="276" w:lineRule="auto"/>
        <w:jc w:val="left"/>
        <w:rPr>
          <w:b/>
          <w:sz w:val="24"/>
          <w:szCs w:val="24"/>
          <w:lang w:val="en-US"/>
        </w:rPr>
      </w:pPr>
      <w:r w:rsidRPr="00FB3DF4">
        <w:rPr>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w:t>
      </w:r>
      <w:r>
        <w:rPr>
          <w:sz w:val="18"/>
          <w:szCs w:val="18"/>
          <w:lang w:val="en-US"/>
        </w:rPr>
        <w:t>MWE</w:t>
      </w:r>
      <w:r w:rsidRPr="00FB3DF4">
        <w:rPr>
          <w:sz w:val="18"/>
          <w:szCs w:val="18"/>
        </w:rPr>
        <w:t xml:space="preserve"> is responsible for providing high quality drinking </w:t>
      </w:r>
      <w:r w:rsidR="00526C94" w:rsidRPr="00FB3DF4">
        <w:rPr>
          <w:sz w:val="18"/>
          <w:szCs w:val="18"/>
        </w:rPr>
        <w:t>water but</w:t>
      </w:r>
      <w:r w:rsidRPr="00FB3DF4">
        <w:rPr>
          <w:sz w:val="18"/>
          <w:szCs w:val="18"/>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w:t>
      </w:r>
      <w:r w:rsidR="002051DF">
        <w:rPr>
          <w:sz w:val="18"/>
          <w:szCs w:val="18"/>
        </w:rPr>
        <w:t>e Safe Drinking Water Hotline</w:t>
      </w:r>
      <w:r w:rsidRPr="00FB3DF4">
        <w:rPr>
          <w:sz w:val="18"/>
          <w:szCs w:val="18"/>
        </w:rPr>
        <w:t xml:space="preserve"> at </w:t>
      </w:r>
      <w:hyperlink r:id="rId8" w:history="1">
        <w:r w:rsidRPr="004E56C2">
          <w:rPr>
            <w:rStyle w:val="Hyperlink"/>
            <w:sz w:val="18"/>
            <w:szCs w:val="18"/>
          </w:rPr>
          <w:t>http://www.epa.gov/safewater/lead</w:t>
        </w:r>
      </w:hyperlink>
      <w:r w:rsidRPr="00FB3DF4">
        <w:rPr>
          <w:sz w:val="18"/>
          <w:szCs w:val="18"/>
        </w:rPr>
        <w:t xml:space="preserve">. </w:t>
      </w:r>
    </w:p>
    <w:p w14:paraId="4E62FB8F" w14:textId="77777777" w:rsidR="006A694D" w:rsidRDefault="006A694D" w:rsidP="006A694D"/>
    <w:p w14:paraId="46598733" w14:textId="21904C1B" w:rsidR="003640C8" w:rsidRDefault="00E21D4A">
      <w:pPr>
        <w:rPr>
          <w:ins w:id="28" w:author="Medina, Jason" w:date="2021-05-18T10:21:00Z"/>
        </w:rPr>
      </w:pPr>
    </w:p>
    <w:p w14:paraId="37C46DF1" w14:textId="77777777" w:rsidR="000507FA" w:rsidRDefault="000507FA"/>
    <w:sectPr w:rsidR="000507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80AA6" w14:textId="77777777" w:rsidR="00D46F9B" w:rsidRDefault="00D46F9B" w:rsidP="00A105D3">
      <w:pPr>
        <w:spacing w:line="240" w:lineRule="auto"/>
      </w:pPr>
      <w:r>
        <w:separator/>
      </w:r>
    </w:p>
  </w:endnote>
  <w:endnote w:type="continuationSeparator" w:id="0">
    <w:p w14:paraId="7E144CBB" w14:textId="77777777" w:rsidR="00D46F9B" w:rsidRDefault="00D46F9B" w:rsidP="00A10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760E8" w14:textId="77777777" w:rsidR="00D46F9B" w:rsidRDefault="00D46F9B" w:rsidP="00A105D3">
      <w:pPr>
        <w:spacing w:line="240" w:lineRule="auto"/>
      </w:pPr>
      <w:r>
        <w:separator/>
      </w:r>
    </w:p>
  </w:footnote>
  <w:footnote w:type="continuationSeparator" w:id="0">
    <w:p w14:paraId="4418283E" w14:textId="77777777" w:rsidR="00D46F9B" w:rsidRDefault="00D46F9B" w:rsidP="00A105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E4FCD"/>
    <w:multiLevelType w:val="hybridMultilevel"/>
    <w:tmpl w:val="6FA44E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na, Jason">
    <w15:presenceInfo w15:providerId="AD" w15:userId="S::jmedina2@fmi.com::47ea2267-72bb-476f-ac33-911e53e48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4D"/>
    <w:rsid w:val="000507FA"/>
    <w:rsid w:val="00072FBE"/>
    <w:rsid w:val="00087F5B"/>
    <w:rsid w:val="00090668"/>
    <w:rsid w:val="000B79A7"/>
    <w:rsid w:val="000D0B44"/>
    <w:rsid w:val="000E0AF7"/>
    <w:rsid w:val="000F5635"/>
    <w:rsid w:val="001174D4"/>
    <w:rsid w:val="00145651"/>
    <w:rsid w:val="001577AC"/>
    <w:rsid w:val="00157953"/>
    <w:rsid w:val="00161AC6"/>
    <w:rsid w:val="00166F7B"/>
    <w:rsid w:val="001841E9"/>
    <w:rsid w:val="00184AB4"/>
    <w:rsid w:val="00185882"/>
    <w:rsid w:val="001D4E51"/>
    <w:rsid w:val="00200DDC"/>
    <w:rsid w:val="002051DF"/>
    <w:rsid w:val="002059BD"/>
    <w:rsid w:val="00282008"/>
    <w:rsid w:val="002A6AD5"/>
    <w:rsid w:val="002F404C"/>
    <w:rsid w:val="00330A19"/>
    <w:rsid w:val="00337CCB"/>
    <w:rsid w:val="0034237A"/>
    <w:rsid w:val="003718C6"/>
    <w:rsid w:val="00371BAF"/>
    <w:rsid w:val="00381A55"/>
    <w:rsid w:val="00391037"/>
    <w:rsid w:val="0039583F"/>
    <w:rsid w:val="003C031D"/>
    <w:rsid w:val="003C4C47"/>
    <w:rsid w:val="003D1EA6"/>
    <w:rsid w:val="003D2C7B"/>
    <w:rsid w:val="003D6D3D"/>
    <w:rsid w:val="003F48D6"/>
    <w:rsid w:val="00410A40"/>
    <w:rsid w:val="00436711"/>
    <w:rsid w:val="00440A87"/>
    <w:rsid w:val="00467181"/>
    <w:rsid w:val="0048217D"/>
    <w:rsid w:val="00483BB1"/>
    <w:rsid w:val="004A3435"/>
    <w:rsid w:val="004E2FDE"/>
    <w:rsid w:val="00502543"/>
    <w:rsid w:val="00515BC7"/>
    <w:rsid w:val="00526C94"/>
    <w:rsid w:val="005471AD"/>
    <w:rsid w:val="005714B1"/>
    <w:rsid w:val="005A5228"/>
    <w:rsid w:val="005F1853"/>
    <w:rsid w:val="00606019"/>
    <w:rsid w:val="00691E7F"/>
    <w:rsid w:val="006A437F"/>
    <w:rsid w:val="006A694D"/>
    <w:rsid w:val="006B05C5"/>
    <w:rsid w:val="006C20DE"/>
    <w:rsid w:val="00711D6F"/>
    <w:rsid w:val="007232C7"/>
    <w:rsid w:val="00763B1C"/>
    <w:rsid w:val="00763D5F"/>
    <w:rsid w:val="00796F05"/>
    <w:rsid w:val="007A1270"/>
    <w:rsid w:val="007C4922"/>
    <w:rsid w:val="00820B90"/>
    <w:rsid w:val="008C05E3"/>
    <w:rsid w:val="008C784B"/>
    <w:rsid w:val="008D74C6"/>
    <w:rsid w:val="008E3E6F"/>
    <w:rsid w:val="009270C6"/>
    <w:rsid w:val="009505A3"/>
    <w:rsid w:val="00997504"/>
    <w:rsid w:val="009A2BEC"/>
    <w:rsid w:val="009A2C9C"/>
    <w:rsid w:val="009F63D4"/>
    <w:rsid w:val="00A05100"/>
    <w:rsid w:val="00A105D3"/>
    <w:rsid w:val="00A1414A"/>
    <w:rsid w:val="00A22F00"/>
    <w:rsid w:val="00A40AA2"/>
    <w:rsid w:val="00AA0C8C"/>
    <w:rsid w:val="00AB1A25"/>
    <w:rsid w:val="00AD1128"/>
    <w:rsid w:val="00AD2E41"/>
    <w:rsid w:val="00AF50B1"/>
    <w:rsid w:val="00AF7C78"/>
    <w:rsid w:val="00B246B3"/>
    <w:rsid w:val="00B36312"/>
    <w:rsid w:val="00B62663"/>
    <w:rsid w:val="00BA5804"/>
    <w:rsid w:val="00BB43DE"/>
    <w:rsid w:val="00BC0BC9"/>
    <w:rsid w:val="00BE60CD"/>
    <w:rsid w:val="00BF45D8"/>
    <w:rsid w:val="00C17340"/>
    <w:rsid w:val="00C44727"/>
    <w:rsid w:val="00C56074"/>
    <w:rsid w:val="00C663AD"/>
    <w:rsid w:val="00C66478"/>
    <w:rsid w:val="00C7184D"/>
    <w:rsid w:val="00C8039C"/>
    <w:rsid w:val="00CA090A"/>
    <w:rsid w:val="00CB1F08"/>
    <w:rsid w:val="00CD0672"/>
    <w:rsid w:val="00CD2F1A"/>
    <w:rsid w:val="00CD34AD"/>
    <w:rsid w:val="00CE1531"/>
    <w:rsid w:val="00CE2ABF"/>
    <w:rsid w:val="00D20A40"/>
    <w:rsid w:val="00D26B93"/>
    <w:rsid w:val="00D34FA1"/>
    <w:rsid w:val="00D45DA1"/>
    <w:rsid w:val="00D46F9B"/>
    <w:rsid w:val="00D7513F"/>
    <w:rsid w:val="00D80131"/>
    <w:rsid w:val="00D82493"/>
    <w:rsid w:val="00DB48D0"/>
    <w:rsid w:val="00DB73FC"/>
    <w:rsid w:val="00DC0614"/>
    <w:rsid w:val="00DC547B"/>
    <w:rsid w:val="00DF5834"/>
    <w:rsid w:val="00E04198"/>
    <w:rsid w:val="00E21D4A"/>
    <w:rsid w:val="00E4275C"/>
    <w:rsid w:val="00E64C65"/>
    <w:rsid w:val="00EA42E9"/>
    <w:rsid w:val="00EB1ADB"/>
    <w:rsid w:val="00EE0B9E"/>
    <w:rsid w:val="00EE4333"/>
    <w:rsid w:val="00F2419D"/>
    <w:rsid w:val="00F2513B"/>
    <w:rsid w:val="00F25A91"/>
    <w:rsid w:val="00F64BB0"/>
    <w:rsid w:val="00FC2071"/>
    <w:rsid w:val="00FE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49881"/>
  <w15:chartTrackingRefBased/>
  <w15:docId w15:val="{4A045DAE-42AD-42B2-A090-F1500DFB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94D"/>
    <w:pPr>
      <w:widowControl w:val="0"/>
      <w:overflowPunct w:val="0"/>
      <w:autoSpaceDE w:val="0"/>
      <w:autoSpaceDN w:val="0"/>
      <w:adjustRightInd w:val="0"/>
      <w:spacing w:after="0" w:line="360" w:lineRule="atLeast"/>
      <w:jc w:val="both"/>
      <w:textAlignment w:val="baseline"/>
    </w:pPr>
    <w:rPr>
      <w:rFonts w:ascii="Arial" w:eastAsia="Times New Roman" w:hAnsi="Arial" w:cs="Times New Roman"/>
      <w:sz w:val="24"/>
      <w:szCs w:val="20"/>
    </w:rPr>
  </w:style>
  <w:style w:type="paragraph" w:styleId="Heading1">
    <w:name w:val="heading 1"/>
    <w:basedOn w:val="Normal"/>
    <w:next w:val="Normal"/>
    <w:link w:val="Heading1Char"/>
    <w:qFormat/>
    <w:rsid w:val="006A694D"/>
    <w:pPr>
      <w:keepNext/>
      <w:pBdr>
        <w:top w:val="single" w:sz="6" w:space="1" w:color="auto"/>
        <w:left w:val="single" w:sz="6" w:space="4" w:color="auto"/>
        <w:bottom w:val="single" w:sz="6" w:space="1" w:color="auto"/>
        <w:right w:val="single" w:sz="6" w:space="4" w:color="auto"/>
      </w:pBdr>
      <w:jc w:val="center"/>
      <w:outlineLvl w:val="0"/>
    </w:pPr>
    <w:rPr>
      <w:b/>
      <w:sz w:val="32"/>
    </w:rPr>
  </w:style>
  <w:style w:type="paragraph" w:styleId="Heading2">
    <w:name w:val="heading 2"/>
    <w:basedOn w:val="Normal"/>
    <w:next w:val="Normal"/>
    <w:link w:val="Heading2Char"/>
    <w:qFormat/>
    <w:rsid w:val="006A694D"/>
    <w:pPr>
      <w:keepNext/>
      <w:pBdr>
        <w:top w:val="single" w:sz="6" w:space="1" w:color="auto"/>
        <w:left w:val="single" w:sz="6" w:space="4" w:color="auto"/>
        <w:bottom w:val="single" w:sz="6" w:space="1" w:color="auto"/>
        <w:right w:val="single" w:sz="6" w:space="4" w:color="auto"/>
      </w:pBdr>
      <w:jc w:val="center"/>
      <w:outlineLvl w:val="1"/>
    </w:pPr>
    <w:rPr>
      <w:b/>
      <w:sz w:val="28"/>
    </w:rPr>
  </w:style>
  <w:style w:type="paragraph" w:styleId="Heading3">
    <w:name w:val="heading 3"/>
    <w:basedOn w:val="Normal"/>
    <w:next w:val="Normal"/>
    <w:link w:val="Heading3Char"/>
    <w:qFormat/>
    <w:rsid w:val="006A694D"/>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694D"/>
    <w:rPr>
      <w:rFonts w:ascii="Arial" w:eastAsia="Times New Roman" w:hAnsi="Arial" w:cs="Times New Roman"/>
      <w:b/>
      <w:sz w:val="32"/>
      <w:szCs w:val="20"/>
    </w:rPr>
  </w:style>
  <w:style w:type="character" w:customStyle="1" w:styleId="Heading2Char">
    <w:name w:val="Heading 2 Char"/>
    <w:basedOn w:val="DefaultParagraphFont"/>
    <w:link w:val="Heading2"/>
    <w:rsid w:val="006A694D"/>
    <w:rPr>
      <w:rFonts w:ascii="Arial" w:eastAsia="Times New Roman" w:hAnsi="Arial" w:cs="Times New Roman"/>
      <w:b/>
      <w:sz w:val="28"/>
      <w:szCs w:val="20"/>
    </w:rPr>
  </w:style>
  <w:style w:type="character" w:customStyle="1" w:styleId="Heading3Char">
    <w:name w:val="Heading 3 Char"/>
    <w:basedOn w:val="DefaultParagraphFont"/>
    <w:link w:val="Heading3"/>
    <w:rsid w:val="006A694D"/>
    <w:rPr>
      <w:rFonts w:ascii="Arial" w:eastAsia="Times New Roman" w:hAnsi="Arial" w:cs="Times New Roman"/>
      <w:b/>
      <w:sz w:val="28"/>
      <w:szCs w:val="20"/>
    </w:rPr>
  </w:style>
  <w:style w:type="paragraph" w:styleId="BodyText">
    <w:name w:val="Body Text"/>
    <w:basedOn w:val="Normal"/>
    <w:link w:val="BodyTextChar"/>
    <w:rsid w:val="006A694D"/>
    <w:pPr>
      <w:jc w:val="center"/>
    </w:pPr>
    <w:rPr>
      <w:b/>
    </w:rPr>
  </w:style>
  <w:style w:type="character" w:customStyle="1" w:styleId="BodyTextChar">
    <w:name w:val="Body Text Char"/>
    <w:basedOn w:val="DefaultParagraphFont"/>
    <w:link w:val="BodyText"/>
    <w:rsid w:val="006A694D"/>
    <w:rPr>
      <w:rFonts w:ascii="Arial" w:eastAsia="Times New Roman" w:hAnsi="Arial" w:cs="Times New Roman"/>
      <w:b/>
      <w:sz w:val="24"/>
      <w:szCs w:val="20"/>
    </w:rPr>
  </w:style>
  <w:style w:type="character" w:styleId="Hyperlink">
    <w:name w:val="Hyperlink"/>
    <w:rsid w:val="006A694D"/>
    <w:rPr>
      <w:color w:val="0000FF"/>
      <w:u w:val="single"/>
    </w:rPr>
  </w:style>
  <w:style w:type="paragraph" w:styleId="BodyTextIndent">
    <w:name w:val="Body Text Indent"/>
    <w:basedOn w:val="Normal"/>
    <w:link w:val="BodyTextIndentChar"/>
    <w:rsid w:val="006A694D"/>
    <w:pPr>
      <w:spacing w:after="120"/>
      <w:ind w:left="360"/>
    </w:pPr>
  </w:style>
  <w:style w:type="character" w:customStyle="1" w:styleId="BodyTextIndentChar">
    <w:name w:val="Body Text Indent Char"/>
    <w:basedOn w:val="DefaultParagraphFont"/>
    <w:link w:val="BodyTextIndent"/>
    <w:rsid w:val="006A694D"/>
    <w:rPr>
      <w:rFonts w:ascii="Arial" w:eastAsia="Times New Roman" w:hAnsi="Arial" w:cs="Times New Roman"/>
      <w:sz w:val="24"/>
      <w:szCs w:val="20"/>
    </w:rPr>
  </w:style>
  <w:style w:type="paragraph" w:styleId="BodyText3">
    <w:name w:val="Body Text 3"/>
    <w:basedOn w:val="Normal"/>
    <w:link w:val="BodyText3Char"/>
    <w:rsid w:val="006A694D"/>
    <w:pPr>
      <w:spacing w:after="120"/>
    </w:pPr>
    <w:rPr>
      <w:sz w:val="16"/>
      <w:szCs w:val="16"/>
      <w:lang w:val="x-none" w:eastAsia="x-none"/>
    </w:rPr>
  </w:style>
  <w:style w:type="character" w:customStyle="1" w:styleId="BodyText3Char">
    <w:name w:val="Body Text 3 Char"/>
    <w:basedOn w:val="DefaultParagraphFont"/>
    <w:link w:val="BodyText3"/>
    <w:rsid w:val="006A694D"/>
    <w:rPr>
      <w:rFonts w:ascii="Arial" w:eastAsia="Times New Roman" w:hAnsi="Arial" w:cs="Times New Roman"/>
      <w:sz w:val="16"/>
      <w:szCs w:val="16"/>
      <w:lang w:val="x-none" w:eastAsia="x-none"/>
    </w:rPr>
  </w:style>
  <w:style w:type="paragraph" w:customStyle="1" w:styleId="Default">
    <w:name w:val="Default"/>
    <w:rsid w:val="006A69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D2F1A"/>
    <w:pPr>
      <w:ind w:left="720"/>
      <w:contextualSpacing/>
    </w:pPr>
  </w:style>
  <w:style w:type="paragraph" w:styleId="BalloonText">
    <w:name w:val="Balloon Text"/>
    <w:basedOn w:val="Normal"/>
    <w:link w:val="BalloonTextChar"/>
    <w:uiPriority w:val="99"/>
    <w:semiHidden/>
    <w:unhideWhenUsed/>
    <w:rsid w:val="00AF50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0B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05100"/>
    <w:rPr>
      <w:sz w:val="16"/>
      <w:szCs w:val="16"/>
    </w:rPr>
  </w:style>
  <w:style w:type="paragraph" w:styleId="CommentText">
    <w:name w:val="annotation text"/>
    <w:basedOn w:val="Normal"/>
    <w:link w:val="CommentTextChar"/>
    <w:uiPriority w:val="99"/>
    <w:semiHidden/>
    <w:unhideWhenUsed/>
    <w:rsid w:val="00A05100"/>
    <w:pPr>
      <w:spacing w:line="240" w:lineRule="auto"/>
    </w:pPr>
    <w:rPr>
      <w:sz w:val="20"/>
    </w:rPr>
  </w:style>
  <w:style w:type="character" w:customStyle="1" w:styleId="CommentTextChar">
    <w:name w:val="Comment Text Char"/>
    <w:basedOn w:val="DefaultParagraphFont"/>
    <w:link w:val="CommentText"/>
    <w:uiPriority w:val="99"/>
    <w:semiHidden/>
    <w:rsid w:val="00A051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05100"/>
    <w:rPr>
      <w:b/>
      <w:bCs/>
    </w:rPr>
  </w:style>
  <w:style w:type="character" w:customStyle="1" w:styleId="CommentSubjectChar">
    <w:name w:val="Comment Subject Char"/>
    <w:basedOn w:val="CommentTextChar"/>
    <w:link w:val="CommentSubject"/>
    <w:uiPriority w:val="99"/>
    <w:semiHidden/>
    <w:rsid w:val="00A05100"/>
    <w:rPr>
      <w:rFonts w:ascii="Arial" w:eastAsia="Times New Roman" w:hAnsi="Arial" w:cs="Times New Roman"/>
      <w:b/>
      <w:bCs/>
      <w:sz w:val="20"/>
      <w:szCs w:val="20"/>
    </w:rPr>
  </w:style>
  <w:style w:type="paragraph" w:styleId="Header">
    <w:name w:val="header"/>
    <w:basedOn w:val="Normal"/>
    <w:link w:val="HeaderChar"/>
    <w:uiPriority w:val="99"/>
    <w:unhideWhenUsed/>
    <w:rsid w:val="00157953"/>
    <w:pPr>
      <w:tabs>
        <w:tab w:val="center" w:pos="4680"/>
        <w:tab w:val="right" w:pos="9360"/>
      </w:tabs>
      <w:spacing w:line="240" w:lineRule="auto"/>
    </w:pPr>
  </w:style>
  <w:style w:type="character" w:customStyle="1" w:styleId="HeaderChar">
    <w:name w:val="Header Char"/>
    <w:basedOn w:val="DefaultParagraphFont"/>
    <w:link w:val="Header"/>
    <w:uiPriority w:val="99"/>
    <w:rsid w:val="00157953"/>
    <w:rPr>
      <w:rFonts w:ascii="Arial" w:eastAsia="Times New Roman" w:hAnsi="Arial" w:cs="Times New Roman"/>
      <w:sz w:val="24"/>
      <w:szCs w:val="20"/>
    </w:rPr>
  </w:style>
  <w:style w:type="paragraph" w:styleId="Footer">
    <w:name w:val="footer"/>
    <w:basedOn w:val="Normal"/>
    <w:link w:val="FooterChar"/>
    <w:uiPriority w:val="99"/>
    <w:unhideWhenUsed/>
    <w:rsid w:val="00157953"/>
    <w:pPr>
      <w:tabs>
        <w:tab w:val="center" w:pos="4680"/>
        <w:tab w:val="right" w:pos="9360"/>
      </w:tabs>
      <w:spacing w:line="240" w:lineRule="auto"/>
    </w:pPr>
  </w:style>
  <w:style w:type="character" w:customStyle="1" w:styleId="FooterChar">
    <w:name w:val="Footer Char"/>
    <w:basedOn w:val="DefaultParagraphFont"/>
    <w:link w:val="Footer"/>
    <w:uiPriority w:val="99"/>
    <w:rsid w:val="00157953"/>
    <w:rPr>
      <w:rFonts w:ascii="Arial" w:eastAsia="Times New Roman" w:hAnsi="Arial" w:cs="Times New Roman"/>
      <w:sz w:val="24"/>
      <w:szCs w:val="20"/>
    </w:rPr>
  </w:style>
  <w:style w:type="paragraph" w:styleId="Title">
    <w:name w:val="Title"/>
    <w:basedOn w:val="Normal"/>
    <w:next w:val="Normal"/>
    <w:link w:val="TitleChar"/>
    <w:uiPriority w:val="10"/>
    <w:qFormat/>
    <w:rsid w:val="00B3631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3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hyperlink" Target="http://www.azdeq.gov/environ/water/dw/swa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1634</Words>
  <Characters>9319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FMI</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Medina, Jason</dc:creator>
  <cp:lastModifiedBy>Medina, Jason</cp:lastModifiedBy>
  <cp:revision>2</cp:revision>
  <cp:lastPrinted>2022-05-20T18:07:00Z</cp:lastPrinted>
  <dcterms:created xsi:type="dcterms:W3CDTF">2022-05-20T18:10:00Z</dcterms:created>
  <dcterms:modified xsi:type="dcterms:W3CDTF">2022-05-20T18:10:00Z</dcterms:modified>
</cp:coreProperties>
</file>